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B4C1" w14:textId="7470C111" w:rsidR="00D91320" w:rsidRDefault="622A90F9" w:rsidP="43AB549D">
      <w:pPr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GoBack"/>
      <w:bookmarkEnd w:id="0"/>
      <w:r w:rsidRPr="43AB549D">
        <w:rPr>
          <w:rFonts w:eastAsia="Arial" w:cs="Arial"/>
          <w:b/>
          <w:bCs/>
          <w:color w:val="008A3E"/>
          <w:sz w:val="36"/>
          <w:szCs w:val="36"/>
        </w:rPr>
        <w:t>Speak Up Month 2021</w:t>
      </w:r>
      <w:r w:rsidRPr="43AB549D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F8F889E" w14:textId="77777777" w:rsidR="0095480D" w:rsidRDefault="007849B1" w:rsidP="000E3341">
      <w:pPr>
        <w:rPr>
          <w:szCs w:val="24"/>
        </w:rPr>
      </w:pPr>
      <w:r w:rsidRPr="000E3341">
        <w:rPr>
          <w:szCs w:val="24"/>
        </w:rPr>
        <w:t>The pandemic has highlighted that speaking up has never been more important</w:t>
      </w:r>
      <w:r w:rsidR="0095480D">
        <w:rPr>
          <w:szCs w:val="24"/>
        </w:rPr>
        <w:t xml:space="preserve"> for the benefit of colleagues and patients</w:t>
      </w:r>
      <w:r w:rsidRPr="00053E96">
        <w:rPr>
          <w:szCs w:val="24"/>
        </w:rPr>
        <w:t xml:space="preserve">. </w:t>
      </w:r>
    </w:p>
    <w:p w14:paraId="181BD1EB" w14:textId="23612C65" w:rsidR="00D91320" w:rsidRPr="00053E96" w:rsidRDefault="003C2CB4" w:rsidP="000E3341">
      <w:pPr>
        <w:rPr>
          <w:szCs w:val="24"/>
        </w:rPr>
      </w:pPr>
      <w:r w:rsidRPr="00053E96">
        <w:rPr>
          <w:szCs w:val="24"/>
        </w:rPr>
        <w:t xml:space="preserve">Speak Up Month in October is an opportunity </w:t>
      </w:r>
      <w:r w:rsidR="00D0692E" w:rsidRPr="00053E96">
        <w:rPr>
          <w:szCs w:val="24"/>
        </w:rPr>
        <w:t>to</w:t>
      </w:r>
      <w:r w:rsidR="622A90F9" w:rsidRPr="00053E96">
        <w:rPr>
          <w:szCs w:val="24"/>
        </w:rPr>
        <w:t xml:space="preserve"> raise awareness of </w:t>
      </w:r>
      <w:r w:rsidR="00D0692E" w:rsidRPr="00053E96">
        <w:rPr>
          <w:szCs w:val="24"/>
        </w:rPr>
        <w:t xml:space="preserve">how much we value </w:t>
      </w:r>
      <w:r w:rsidR="622A90F9" w:rsidRPr="00053E96">
        <w:rPr>
          <w:szCs w:val="24"/>
        </w:rPr>
        <w:t xml:space="preserve">speaking up in </w:t>
      </w:r>
      <w:r w:rsidR="007B3DA4">
        <w:rPr>
          <w:szCs w:val="24"/>
        </w:rPr>
        <w:t xml:space="preserve">our organisation. </w:t>
      </w:r>
    </w:p>
    <w:p w14:paraId="42832DC3" w14:textId="390E2550" w:rsidR="00D91320" w:rsidRPr="00053E96" w:rsidRDefault="622A90F9" w:rsidP="00053E96">
      <w:pPr>
        <w:rPr>
          <w:szCs w:val="24"/>
        </w:rPr>
      </w:pPr>
      <w:r w:rsidRPr="00053E96">
        <w:rPr>
          <w:szCs w:val="24"/>
        </w:rPr>
        <w:t xml:space="preserve">The theme of this year’s Speak Up Month is </w:t>
      </w:r>
      <w:r w:rsidRPr="00053E96">
        <w:rPr>
          <w:b/>
          <w:bCs/>
          <w:szCs w:val="24"/>
        </w:rPr>
        <w:t>Speak Up, Listen Up, Follow Up</w:t>
      </w:r>
      <w:r w:rsidRPr="00053E96">
        <w:rPr>
          <w:szCs w:val="24"/>
        </w:rPr>
        <w:t xml:space="preserve">. To </w:t>
      </w:r>
      <w:r w:rsidR="007849B1" w:rsidRPr="00053E96">
        <w:rPr>
          <w:szCs w:val="24"/>
        </w:rPr>
        <w:t>make speaking up business as usual</w:t>
      </w:r>
      <w:r w:rsidR="001F5492" w:rsidRPr="00053E96">
        <w:rPr>
          <w:szCs w:val="24"/>
        </w:rPr>
        <w:t xml:space="preserve"> it is essential that when people speak up, they are listened to, and that</w:t>
      </w:r>
      <w:r w:rsidR="00346A87" w:rsidRPr="00053E96">
        <w:rPr>
          <w:szCs w:val="24"/>
        </w:rPr>
        <w:t xml:space="preserve"> </w:t>
      </w:r>
      <w:proofErr w:type="gramStart"/>
      <w:r w:rsidR="00346A87" w:rsidRPr="00053E96">
        <w:rPr>
          <w:szCs w:val="24"/>
        </w:rPr>
        <w:t>learning</w:t>
      </w:r>
      <w:proofErr w:type="gramEnd"/>
      <w:r w:rsidR="00346A87" w:rsidRPr="00053E96">
        <w:rPr>
          <w:szCs w:val="24"/>
        </w:rPr>
        <w:t xml:space="preserve"> and improvement happens as a result.</w:t>
      </w:r>
    </w:p>
    <w:p w14:paraId="4E854441" w14:textId="77777777" w:rsidR="009C4659" w:rsidRPr="00053E96" w:rsidRDefault="622A90F9" w:rsidP="00053E96">
      <w:pPr>
        <w:rPr>
          <w:szCs w:val="24"/>
        </w:rPr>
      </w:pPr>
      <w:r w:rsidRPr="00053E96">
        <w:rPr>
          <w:szCs w:val="24"/>
        </w:rPr>
        <w:t xml:space="preserve">Speaking up is for everyone. </w:t>
      </w:r>
    </w:p>
    <w:p w14:paraId="34E18B4F" w14:textId="779106B0" w:rsidR="009C4659" w:rsidRPr="00053E96" w:rsidRDefault="009C4659" w:rsidP="00053E96">
      <w:pPr>
        <w:rPr>
          <w:szCs w:val="24"/>
        </w:rPr>
      </w:pPr>
      <w:r w:rsidRPr="00053E96">
        <w:rPr>
          <w:szCs w:val="24"/>
        </w:rPr>
        <w:t>Everyone is</w:t>
      </w:r>
      <w:r w:rsidR="622A90F9" w:rsidRPr="00053E96">
        <w:rPr>
          <w:szCs w:val="24"/>
        </w:rPr>
        <w:t xml:space="preserve"> encouraged to </w:t>
      </w:r>
      <w:r w:rsidR="622A90F9" w:rsidRPr="00053E96">
        <w:rPr>
          <w:i/>
          <w:iCs/>
          <w:szCs w:val="24"/>
        </w:rPr>
        <w:t>Speak Up</w:t>
      </w:r>
      <w:r w:rsidR="622A90F9" w:rsidRPr="00053E96">
        <w:rPr>
          <w:szCs w:val="24"/>
        </w:rPr>
        <w:t xml:space="preserve"> if something is not quite right or can be improved. </w:t>
      </w:r>
    </w:p>
    <w:p w14:paraId="77A3CE88" w14:textId="3C3AFBF5" w:rsidR="00575139" w:rsidRPr="00053E96" w:rsidRDefault="009C4659" w:rsidP="00053E96">
      <w:pPr>
        <w:rPr>
          <w:szCs w:val="24"/>
        </w:rPr>
      </w:pPr>
      <w:r w:rsidRPr="00053E96">
        <w:rPr>
          <w:szCs w:val="24"/>
        </w:rPr>
        <w:t>Everyone</w:t>
      </w:r>
      <w:r w:rsidR="622A90F9" w:rsidRPr="00053E96">
        <w:rPr>
          <w:szCs w:val="24"/>
        </w:rPr>
        <w:t xml:space="preserve"> should </w:t>
      </w:r>
      <w:r w:rsidR="622A90F9" w:rsidRPr="00053E96">
        <w:rPr>
          <w:i/>
          <w:iCs/>
          <w:szCs w:val="24"/>
        </w:rPr>
        <w:t>Listen Up</w:t>
      </w:r>
      <w:r w:rsidR="622A90F9" w:rsidRPr="00053E96">
        <w:rPr>
          <w:szCs w:val="24"/>
        </w:rPr>
        <w:t xml:space="preserve"> </w:t>
      </w:r>
      <w:r w:rsidRPr="00053E96">
        <w:rPr>
          <w:szCs w:val="24"/>
        </w:rPr>
        <w:t>when someone speaks up to them.</w:t>
      </w:r>
      <w:r w:rsidR="622A90F9" w:rsidRPr="00053E96">
        <w:rPr>
          <w:szCs w:val="24"/>
        </w:rPr>
        <w:t xml:space="preserve"> </w:t>
      </w:r>
      <w:r w:rsidR="004972E2">
        <w:rPr>
          <w:szCs w:val="24"/>
        </w:rPr>
        <w:t xml:space="preserve">When someone speaks up to you, </w:t>
      </w:r>
      <w:r w:rsidR="002171C4">
        <w:rPr>
          <w:szCs w:val="24"/>
        </w:rPr>
        <w:t xml:space="preserve">say ‘thank you’, </w:t>
      </w:r>
      <w:r w:rsidR="622A90F9" w:rsidRPr="00053E96">
        <w:rPr>
          <w:szCs w:val="24"/>
        </w:rPr>
        <w:t xml:space="preserve">respond </w:t>
      </w:r>
      <w:r w:rsidR="00545D79" w:rsidRPr="00053E96">
        <w:rPr>
          <w:szCs w:val="24"/>
        </w:rPr>
        <w:t xml:space="preserve">appropriately </w:t>
      </w:r>
      <w:r w:rsidR="002171C4">
        <w:rPr>
          <w:szCs w:val="24"/>
        </w:rPr>
        <w:t>and</w:t>
      </w:r>
      <w:r w:rsidR="00545D79" w:rsidRPr="00053E96">
        <w:rPr>
          <w:szCs w:val="24"/>
        </w:rPr>
        <w:t xml:space="preserve"> </w:t>
      </w:r>
      <w:r w:rsidR="622A90F9" w:rsidRPr="00053E96">
        <w:rPr>
          <w:szCs w:val="24"/>
        </w:rPr>
        <w:t>escalate matters</w:t>
      </w:r>
      <w:r w:rsidR="00575139" w:rsidRPr="00053E96">
        <w:rPr>
          <w:szCs w:val="24"/>
        </w:rPr>
        <w:t xml:space="preserve"> </w:t>
      </w:r>
      <w:r w:rsidR="002171C4">
        <w:rPr>
          <w:szCs w:val="24"/>
        </w:rPr>
        <w:t xml:space="preserve">where needed </w:t>
      </w:r>
      <w:r w:rsidR="00575139" w:rsidRPr="00053E96">
        <w:rPr>
          <w:szCs w:val="24"/>
        </w:rPr>
        <w:t>so that the right actions</w:t>
      </w:r>
      <w:r w:rsidR="622A90F9" w:rsidRPr="00053E96">
        <w:rPr>
          <w:szCs w:val="24"/>
        </w:rPr>
        <w:t xml:space="preserve">. </w:t>
      </w:r>
    </w:p>
    <w:p w14:paraId="6CB9D97F" w14:textId="054F5D2B" w:rsidR="00D91320" w:rsidRPr="00053E96" w:rsidRDefault="622A90F9" w:rsidP="00053E96">
      <w:pPr>
        <w:rPr>
          <w:szCs w:val="24"/>
        </w:rPr>
      </w:pPr>
      <w:r w:rsidRPr="00053E96">
        <w:rPr>
          <w:szCs w:val="24"/>
        </w:rPr>
        <w:t xml:space="preserve">And leaders should ensure that they </w:t>
      </w:r>
      <w:r w:rsidRPr="00053E96">
        <w:rPr>
          <w:i/>
          <w:iCs/>
          <w:szCs w:val="24"/>
        </w:rPr>
        <w:t>Follow Up</w:t>
      </w:r>
      <w:r w:rsidRPr="00053E96">
        <w:rPr>
          <w:szCs w:val="24"/>
        </w:rPr>
        <w:t xml:space="preserve"> </w:t>
      </w:r>
      <w:r w:rsidR="00952825" w:rsidRPr="00053E96">
        <w:rPr>
          <w:szCs w:val="24"/>
        </w:rPr>
        <w:t xml:space="preserve">and </w:t>
      </w:r>
      <w:r w:rsidR="007D42F2" w:rsidRPr="00053E96">
        <w:rPr>
          <w:szCs w:val="24"/>
        </w:rPr>
        <w:t xml:space="preserve">use </w:t>
      </w:r>
      <w:r w:rsidR="001821BE" w:rsidRPr="00053E96">
        <w:rPr>
          <w:szCs w:val="24"/>
        </w:rPr>
        <w:t xml:space="preserve">the information </w:t>
      </w:r>
      <w:r w:rsidR="00952332">
        <w:rPr>
          <w:szCs w:val="24"/>
        </w:rPr>
        <w:t>and intelligence that</w:t>
      </w:r>
      <w:r w:rsidR="001821BE" w:rsidRPr="00053E96">
        <w:rPr>
          <w:szCs w:val="24"/>
        </w:rPr>
        <w:t xml:space="preserve"> speaking up brings for learning and improvement</w:t>
      </w:r>
      <w:r w:rsidR="008B07A4">
        <w:rPr>
          <w:szCs w:val="24"/>
        </w:rPr>
        <w:t xml:space="preserve">.  </w:t>
      </w:r>
    </w:p>
    <w:p w14:paraId="26066BB7" w14:textId="5B4A3024" w:rsidR="00D91320" w:rsidRPr="00053E96" w:rsidRDefault="622A90F9" w:rsidP="00053E96">
      <w:pPr>
        <w:rPr>
          <w:szCs w:val="24"/>
        </w:rPr>
      </w:pPr>
      <w:r w:rsidRPr="00053E96">
        <w:rPr>
          <w:color w:val="FF0000"/>
          <w:szCs w:val="24"/>
        </w:rPr>
        <w:t>Here at XXXX we will be… to celebrate Speak Up Month.</w:t>
      </w:r>
    </w:p>
    <w:p w14:paraId="458AEE2D" w14:textId="74BD6EF6" w:rsidR="00D91320" w:rsidRPr="00053E96" w:rsidRDefault="622A90F9" w:rsidP="00053E96">
      <w:pPr>
        <w:rPr>
          <w:szCs w:val="24"/>
        </w:rPr>
      </w:pPr>
      <w:r w:rsidRPr="00053E96">
        <w:rPr>
          <w:color w:val="FF0000"/>
          <w:szCs w:val="24"/>
        </w:rPr>
        <w:t>Quote from the guardian/person in speak up role (if applicable)</w:t>
      </w:r>
    </w:p>
    <w:p w14:paraId="0B4F5F49" w14:textId="40BA8F11" w:rsidR="00D91320" w:rsidRPr="00053E96" w:rsidRDefault="622A90F9" w:rsidP="00053E96">
      <w:pPr>
        <w:rPr>
          <w:rFonts w:ascii="Times New Roman" w:eastAsia="Times New Roman" w:hAnsi="Times New Roman" w:cs="Times New Roman"/>
          <w:szCs w:val="24"/>
        </w:rPr>
      </w:pPr>
      <w:r w:rsidRPr="00053E96">
        <w:rPr>
          <w:color w:val="FF0000"/>
          <w:szCs w:val="24"/>
        </w:rPr>
        <w:t xml:space="preserve">Quote from the </w:t>
      </w:r>
      <w:r w:rsidR="00C95873">
        <w:rPr>
          <w:color w:val="FF0000"/>
          <w:szCs w:val="24"/>
        </w:rPr>
        <w:t>Senior Leaders</w:t>
      </w:r>
    </w:p>
    <w:p w14:paraId="15AE3DA5" w14:textId="50B5FC55" w:rsidR="003844AA" w:rsidRPr="00053E96" w:rsidRDefault="003844AA" w:rsidP="00053E96">
      <w:pPr>
        <w:rPr>
          <w:color w:val="FF0000"/>
          <w:szCs w:val="24"/>
        </w:rPr>
      </w:pPr>
      <w:r w:rsidRPr="00053E96">
        <w:rPr>
          <w:szCs w:val="24"/>
        </w:rPr>
        <w:t xml:space="preserve">The National Guardian’s Office, in association with Health Education England, has developed an e-learning package which is freely available for anyone </w:t>
      </w:r>
      <w:r w:rsidR="0048010F">
        <w:rPr>
          <w:szCs w:val="24"/>
        </w:rPr>
        <w:t>wherever they work</w:t>
      </w:r>
      <w:r w:rsidRPr="00053E96">
        <w:rPr>
          <w:szCs w:val="24"/>
        </w:rPr>
        <w:t xml:space="preserve">. </w:t>
      </w:r>
      <w:r w:rsidR="00EB0253" w:rsidRPr="00053E96">
        <w:rPr>
          <w:szCs w:val="24"/>
        </w:rPr>
        <w:t xml:space="preserve">You can access it here: </w:t>
      </w:r>
      <w:hyperlink r:id="rId7" w:history="1">
        <w:r w:rsidR="00297F57" w:rsidRPr="00053E96">
          <w:rPr>
            <w:rStyle w:val="Hyperlink"/>
            <w:rFonts w:ascii="Calibri" w:eastAsia="Calibri" w:hAnsi="Calibri" w:cs="Calibri"/>
            <w:szCs w:val="24"/>
          </w:rPr>
          <w:t>https://www.e-lfh.org.uk/programmes/freedom-to-speak-up/</w:t>
        </w:r>
      </w:hyperlink>
      <w:r w:rsidR="00297F57" w:rsidRPr="00053E96">
        <w:rPr>
          <w:szCs w:val="24"/>
        </w:rPr>
        <w:t xml:space="preserve"> </w:t>
      </w:r>
      <w:r w:rsidR="00297F57" w:rsidRPr="00053E96">
        <w:rPr>
          <w:color w:val="FF0000"/>
          <w:szCs w:val="24"/>
        </w:rPr>
        <w:t>[or add in the link to your own ESR/LMS]</w:t>
      </w:r>
    </w:p>
    <w:p w14:paraId="587FA45A" w14:textId="00455B5D" w:rsidR="003844AA" w:rsidRDefault="003844AA" w:rsidP="00053E96">
      <w:pPr>
        <w:rPr>
          <w:szCs w:val="24"/>
        </w:rPr>
      </w:pPr>
      <w:r w:rsidRPr="00053E96">
        <w:rPr>
          <w:szCs w:val="24"/>
        </w:rPr>
        <w:t xml:space="preserve">The first module, </w:t>
      </w:r>
      <w:r w:rsidRPr="00053E96">
        <w:rPr>
          <w:i/>
          <w:iCs/>
          <w:szCs w:val="24"/>
        </w:rPr>
        <w:t>Speak Up</w:t>
      </w:r>
      <w:r w:rsidRPr="00053E96">
        <w:rPr>
          <w:szCs w:val="24"/>
        </w:rPr>
        <w:t xml:space="preserve">, available for all workers, describes what speaking up is and why it is important. The second session, </w:t>
      </w:r>
      <w:r w:rsidRPr="00053E96">
        <w:rPr>
          <w:i/>
          <w:iCs/>
          <w:szCs w:val="24"/>
        </w:rPr>
        <w:t>Listen Up</w:t>
      </w:r>
      <w:r w:rsidRPr="00053E96">
        <w:rPr>
          <w:szCs w:val="24"/>
        </w:rPr>
        <w:t xml:space="preserve">, is aimed at managers at all levels and focuses on listening and understanding the barriers to speaking up. The final module, </w:t>
      </w:r>
      <w:r w:rsidRPr="00053E96">
        <w:rPr>
          <w:i/>
          <w:iCs/>
          <w:szCs w:val="24"/>
        </w:rPr>
        <w:t>Follow Up</w:t>
      </w:r>
      <w:r w:rsidRPr="00053E96">
        <w:rPr>
          <w:szCs w:val="24"/>
        </w:rPr>
        <w:t xml:space="preserve">, aimed at senior leaders – including executive and non-executive directors, lay members and governors – </w:t>
      </w:r>
      <w:r w:rsidR="00C75BBB" w:rsidRPr="00053E96">
        <w:rPr>
          <w:szCs w:val="24"/>
        </w:rPr>
        <w:t>is coming soon</w:t>
      </w:r>
      <w:r w:rsidRPr="00053E96">
        <w:rPr>
          <w:szCs w:val="24"/>
        </w:rPr>
        <w:t>.</w:t>
      </w:r>
    </w:p>
    <w:p w14:paraId="7FCEA3A5" w14:textId="1DCA7B97" w:rsidR="001A0461" w:rsidRPr="00053E96" w:rsidRDefault="003D7DCC" w:rsidP="00053E96">
      <w:pPr>
        <w:rPr>
          <w:szCs w:val="24"/>
        </w:rPr>
      </w:pPr>
      <w:r>
        <w:rPr>
          <w:szCs w:val="24"/>
        </w:rPr>
        <w:t xml:space="preserve">We would encourage you to </w:t>
      </w:r>
      <w:r w:rsidR="00195A64">
        <w:rPr>
          <w:szCs w:val="24"/>
        </w:rPr>
        <w:t>complete this e-learning and make a Speak Up Pledge</w:t>
      </w:r>
      <w:r w:rsidR="00247232">
        <w:rPr>
          <w:szCs w:val="24"/>
        </w:rPr>
        <w:t xml:space="preserve"> to show how you support speaking up, listening up and following up in your work.</w:t>
      </w:r>
    </w:p>
    <w:p w14:paraId="4C67BC12" w14:textId="0FBCA8D2" w:rsidR="00762F54" w:rsidRPr="00053E96" w:rsidRDefault="00762F54" w:rsidP="00053E96">
      <w:pPr>
        <w:rPr>
          <w:szCs w:val="24"/>
        </w:rPr>
      </w:pPr>
      <w:r w:rsidRPr="00053E96">
        <w:rPr>
          <w:szCs w:val="24"/>
        </w:rPr>
        <w:t xml:space="preserve">Making speaking up business as usual will enhance </w:t>
      </w:r>
      <w:proofErr w:type="gramStart"/>
      <w:r w:rsidR="00C75BBB" w:rsidRPr="00053E96">
        <w:rPr>
          <w:szCs w:val="24"/>
        </w:rPr>
        <w:t>all of</w:t>
      </w:r>
      <w:proofErr w:type="gramEnd"/>
      <w:r w:rsidR="00C75BBB" w:rsidRPr="00053E96">
        <w:rPr>
          <w:szCs w:val="24"/>
        </w:rPr>
        <w:t xml:space="preserve"> our</w:t>
      </w:r>
      <w:r w:rsidRPr="00053E96">
        <w:rPr>
          <w:szCs w:val="24"/>
        </w:rPr>
        <w:t xml:space="preserve"> working li</w:t>
      </w:r>
      <w:r w:rsidR="00C75BBB" w:rsidRPr="00053E96">
        <w:rPr>
          <w:szCs w:val="24"/>
        </w:rPr>
        <w:t>ves</w:t>
      </w:r>
      <w:r w:rsidRPr="00053E96">
        <w:rPr>
          <w:szCs w:val="24"/>
        </w:rPr>
        <w:t xml:space="preserve"> and improve the quality and safety of care.  Listening and acting upon matters raised means that Freedom to Speak Up will help us to be the best place to work.</w:t>
      </w:r>
    </w:p>
    <w:p w14:paraId="21339DF2" w14:textId="57CCD69F" w:rsidR="00D91320" w:rsidRPr="00053E96" w:rsidRDefault="00D91320" w:rsidP="00053E96">
      <w:pPr>
        <w:rPr>
          <w:szCs w:val="24"/>
        </w:rPr>
      </w:pPr>
    </w:p>
    <w:p w14:paraId="5E5787A5" w14:textId="011180F3" w:rsidR="00D91320" w:rsidRPr="00053E96" w:rsidRDefault="00297F57" w:rsidP="00053E96">
      <w:pPr>
        <w:rPr>
          <w:szCs w:val="24"/>
        </w:rPr>
      </w:pPr>
      <w:r w:rsidRPr="00053E96">
        <w:rPr>
          <w:szCs w:val="24"/>
        </w:rPr>
        <w:t xml:space="preserve">Find out more from </w:t>
      </w:r>
      <w:hyperlink r:id="rId8" w:history="1">
        <w:r w:rsidR="003252FA" w:rsidRPr="003252FA">
          <w:rPr>
            <w:rStyle w:val="Hyperlink"/>
            <w:rFonts w:eastAsia="Calibri" w:cs="Arial"/>
            <w:szCs w:val="24"/>
          </w:rPr>
          <w:t>www.nationalguardian.org</w:t>
        </w:r>
        <w:r w:rsidR="003252FA" w:rsidRPr="003252FA">
          <w:rPr>
            <w:rStyle w:val="Hyperlink"/>
            <w:rFonts w:cs="Arial"/>
            <w:szCs w:val="24"/>
          </w:rPr>
          <w:t>.uk</w:t>
        </w:r>
      </w:hyperlink>
      <w:r w:rsidR="003252FA" w:rsidRPr="003252FA">
        <w:rPr>
          <w:rFonts w:cs="Arial"/>
          <w:szCs w:val="24"/>
        </w:rPr>
        <w:t xml:space="preserve"> </w:t>
      </w:r>
      <w:r w:rsidRPr="003252FA">
        <w:rPr>
          <w:rFonts w:cs="Arial"/>
          <w:szCs w:val="24"/>
        </w:rPr>
        <w:t>.</w:t>
      </w:r>
      <w:r w:rsidRPr="00053E96">
        <w:rPr>
          <w:szCs w:val="24"/>
        </w:rPr>
        <w:t xml:space="preserve"> </w:t>
      </w:r>
      <w:r w:rsidR="622A90F9" w:rsidRPr="00053E96">
        <w:rPr>
          <w:szCs w:val="24"/>
        </w:rPr>
        <w:t xml:space="preserve">You can get involved with Speak Up Month on Twitter and LinkedIn by using the hashtag </w:t>
      </w:r>
      <w:r w:rsidRPr="00053E96">
        <w:rPr>
          <w:szCs w:val="24"/>
        </w:rPr>
        <w:t>#</w:t>
      </w:r>
      <w:proofErr w:type="spellStart"/>
      <w:r w:rsidRPr="00053E96">
        <w:rPr>
          <w:szCs w:val="24"/>
        </w:rPr>
        <w:t>SpeakUpListenUpFollowUp</w:t>
      </w:r>
      <w:proofErr w:type="spellEnd"/>
    </w:p>
    <w:sectPr w:rsidR="00D91320" w:rsidRPr="00053E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73766"/>
    <w:rsid w:val="00053E96"/>
    <w:rsid w:val="000E3341"/>
    <w:rsid w:val="000F788D"/>
    <w:rsid w:val="00124DCE"/>
    <w:rsid w:val="00132AA2"/>
    <w:rsid w:val="00136DD8"/>
    <w:rsid w:val="001821BE"/>
    <w:rsid w:val="00195A64"/>
    <w:rsid w:val="001A0461"/>
    <w:rsid w:val="001A7211"/>
    <w:rsid w:val="001E382E"/>
    <w:rsid w:val="001F5492"/>
    <w:rsid w:val="002171C4"/>
    <w:rsid w:val="00247232"/>
    <w:rsid w:val="00297F57"/>
    <w:rsid w:val="003252FA"/>
    <w:rsid w:val="00346A87"/>
    <w:rsid w:val="003844AA"/>
    <w:rsid w:val="003C2CB4"/>
    <w:rsid w:val="003D7DCC"/>
    <w:rsid w:val="003F5ECB"/>
    <w:rsid w:val="0048010F"/>
    <w:rsid w:val="004972E2"/>
    <w:rsid w:val="00545D79"/>
    <w:rsid w:val="00575139"/>
    <w:rsid w:val="005F2E8A"/>
    <w:rsid w:val="00747C7F"/>
    <w:rsid w:val="00762F54"/>
    <w:rsid w:val="007849B1"/>
    <w:rsid w:val="007B3DA4"/>
    <w:rsid w:val="007D42F2"/>
    <w:rsid w:val="00882D23"/>
    <w:rsid w:val="008B07A4"/>
    <w:rsid w:val="009366DC"/>
    <w:rsid w:val="00952332"/>
    <w:rsid w:val="00952825"/>
    <w:rsid w:val="0095480D"/>
    <w:rsid w:val="009900D4"/>
    <w:rsid w:val="009C4659"/>
    <w:rsid w:val="009C6137"/>
    <w:rsid w:val="009D0F72"/>
    <w:rsid w:val="009F7898"/>
    <w:rsid w:val="00BF7FFC"/>
    <w:rsid w:val="00C75BBB"/>
    <w:rsid w:val="00C95873"/>
    <w:rsid w:val="00D0692E"/>
    <w:rsid w:val="00D91320"/>
    <w:rsid w:val="00DC6D32"/>
    <w:rsid w:val="00E01587"/>
    <w:rsid w:val="00EB0253"/>
    <w:rsid w:val="43AB549D"/>
    <w:rsid w:val="4B373766"/>
    <w:rsid w:val="622A90F9"/>
    <w:rsid w:val="649FC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3766"/>
  <w15:chartTrackingRefBased/>
  <w15:docId w15:val="{7B680A74-E8BF-4C0F-B161-AE02E90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4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F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8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89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uardian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-lfh.org.uk/programmes/freedom-to-speak-u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76621b0a49a2de17c683612695bc18ed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304840b862a7d32821927c4ba285ee0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DDA57-C090-4AB3-9F11-202526333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E94BC-6C0C-464D-81AD-330973502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73054-344B-4BCC-AE24-19B8BC8C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Jay</dc:creator>
  <cp:keywords/>
  <dc:description/>
  <cp:lastModifiedBy>Bradshaw, Katherine</cp:lastModifiedBy>
  <cp:revision>51</cp:revision>
  <dcterms:created xsi:type="dcterms:W3CDTF">2021-08-09T10:51:00Z</dcterms:created>
  <dcterms:modified xsi:type="dcterms:W3CDTF">2021-08-27T12:06:00Z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