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F33AA" w14:textId="77777777" w:rsidR="000F621F" w:rsidRPr="002009E9" w:rsidRDefault="000F621F" w:rsidP="000F621F">
      <w:pPr>
        <w:pStyle w:val="Title"/>
      </w:pPr>
      <w:bookmarkStart w:id="0" w:name="_Toc90906097"/>
      <w:r>
        <w:t>Freedom to Speak Up Gap Analysis Tool</w:t>
      </w:r>
      <w:bookmarkEnd w:id="0"/>
    </w:p>
    <w:p w14:paraId="53CEEAF1" w14:textId="1FCA9F5B" w:rsidR="007B23CE" w:rsidRDefault="007B23CE" w:rsidP="000F621F">
      <w:pPr>
        <w:rPr>
          <w:b/>
        </w:rPr>
      </w:pPr>
    </w:p>
    <w:p w14:paraId="3B5028AC" w14:textId="0C431D53" w:rsidR="008F2636" w:rsidRPr="00F654F1" w:rsidRDefault="008F2636" w:rsidP="000F621F">
      <w:pPr>
        <w:rPr>
          <w:bCs/>
        </w:rPr>
      </w:pPr>
      <w:r w:rsidRPr="00F654F1">
        <w:rPr>
          <w:bCs/>
        </w:rPr>
        <w:t xml:space="preserve">This tool is available as an editable download from </w:t>
      </w:r>
      <w:hyperlink r:id="rId11" w:history="1">
        <w:r w:rsidR="00C84253" w:rsidRPr="00F654F1">
          <w:rPr>
            <w:rStyle w:val="Hyperlink"/>
            <w:bCs/>
          </w:rPr>
          <w:t>https://nationalguardian.org.uk/learning-resources/speaking-up-resources/</w:t>
        </w:r>
      </w:hyperlink>
      <w:r w:rsidR="00C84253" w:rsidRPr="00F654F1">
        <w:rPr>
          <w:bCs/>
        </w:rPr>
        <w:t xml:space="preserve"> </w:t>
      </w:r>
    </w:p>
    <w:p w14:paraId="67A1B92B" w14:textId="77777777" w:rsidR="007B23CE" w:rsidRDefault="007B23CE" w:rsidP="000F621F">
      <w:pPr>
        <w:rPr>
          <w:b/>
        </w:rPr>
      </w:pPr>
    </w:p>
    <w:p w14:paraId="05FDFDE4" w14:textId="4249A014" w:rsidR="000F621F" w:rsidRDefault="000F621F" w:rsidP="000F621F">
      <w:pPr>
        <w:rPr>
          <w:b/>
        </w:rPr>
      </w:pPr>
      <w:r w:rsidRPr="00831BDB">
        <w:rPr>
          <w:b/>
        </w:rPr>
        <w:t>Review undertaken by:</w:t>
      </w:r>
    </w:p>
    <w:p w14:paraId="1D8F09F7" w14:textId="77777777" w:rsidR="007B23CE" w:rsidRPr="00831BDB" w:rsidRDefault="007B23CE" w:rsidP="000F621F">
      <w:pPr>
        <w:rPr>
          <w:b/>
        </w:rPr>
      </w:pPr>
    </w:p>
    <w:p w14:paraId="7C01D47D" w14:textId="769432AA" w:rsidR="000F621F" w:rsidRDefault="000F621F" w:rsidP="000F621F">
      <w:pPr>
        <w:pStyle w:val="Header"/>
      </w:pPr>
      <w:r w:rsidRPr="00831BDB">
        <w:rPr>
          <w:b/>
        </w:rPr>
        <w:t>Date of review:</w:t>
      </w:r>
      <w:r w:rsidR="00165F72">
        <w:rPr>
          <w:b/>
        </w:rPr>
        <w:br/>
      </w:r>
      <w:bookmarkStart w:id="1" w:name="_GoBack"/>
      <w:bookmarkEnd w:id="1"/>
    </w:p>
    <w:tbl>
      <w:tblPr>
        <w:tblStyle w:val="TableGrid1"/>
        <w:tblW w:w="14170" w:type="dxa"/>
        <w:tblLayout w:type="fixed"/>
        <w:tblLook w:val="04A0" w:firstRow="1" w:lastRow="0" w:firstColumn="1" w:lastColumn="0" w:noHBand="0" w:noVBand="1"/>
      </w:tblPr>
      <w:tblGrid>
        <w:gridCol w:w="5098"/>
        <w:gridCol w:w="3119"/>
        <w:gridCol w:w="2977"/>
        <w:gridCol w:w="1829"/>
        <w:gridCol w:w="1147"/>
      </w:tblGrid>
      <w:tr w:rsidR="00012BEC" w:rsidRPr="0031384A" w14:paraId="13A2039B" w14:textId="77777777" w:rsidTr="002A72F4">
        <w:tc>
          <w:tcPr>
            <w:tcW w:w="14170" w:type="dxa"/>
            <w:gridSpan w:val="5"/>
            <w:shd w:val="clear" w:color="auto" w:fill="E8E3EF" w:themeFill="accent4" w:themeFillTint="66"/>
          </w:tcPr>
          <w:bookmarkStart w:id="2" w:name="_Toc90905952"/>
          <w:bookmarkStart w:id="3" w:name="_Toc90906098"/>
          <w:p w14:paraId="08327AE9" w14:textId="1480FB59" w:rsidR="00012BEC" w:rsidRPr="00F654F1" w:rsidRDefault="002F34E6" w:rsidP="00CA774C">
            <w:pPr>
              <w:pStyle w:val="Heading1"/>
              <w:outlineLvl w:val="0"/>
            </w:pPr>
            <w:r>
              <w:lastRenderedPageBreak/>
              <w:fldChar w:fldCharType="begin"/>
            </w:r>
            <w:r>
              <w:instrText xml:space="preserve"> HYPERLINK  \l "_Workers" </w:instrText>
            </w:r>
            <w:r>
              <w:fldChar w:fldCharType="separate"/>
            </w:r>
            <w:r w:rsidR="00012BEC" w:rsidRPr="002F34E6">
              <w:rPr>
                <w:rStyle w:val="Hyperlink"/>
              </w:rPr>
              <w:t>WORKERS</w:t>
            </w:r>
            <w:bookmarkEnd w:id="2"/>
            <w:bookmarkEnd w:id="3"/>
            <w:r>
              <w:fldChar w:fldCharType="end"/>
            </w:r>
          </w:p>
        </w:tc>
      </w:tr>
      <w:tr w:rsidR="0031384A" w:rsidRPr="0031384A" w14:paraId="166914C7" w14:textId="77777777" w:rsidTr="0031384A">
        <w:tc>
          <w:tcPr>
            <w:tcW w:w="5098" w:type="dxa"/>
            <w:shd w:val="clear" w:color="auto" w:fill="0E8A38" w:themeFill="accent1"/>
          </w:tcPr>
          <w:p w14:paraId="3F17CF74" w14:textId="77777777" w:rsidR="002573B3" w:rsidRPr="0031384A" w:rsidRDefault="002573B3" w:rsidP="00CA774C">
            <w:pPr>
              <w:pStyle w:val="Heading2"/>
              <w:outlineLvl w:val="1"/>
            </w:pPr>
            <w:bookmarkStart w:id="4" w:name="_Toc90905953"/>
            <w:bookmarkStart w:id="5" w:name="_Toc90906099"/>
            <w:r w:rsidRPr="0031384A">
              <w:rPr>
                <w:rFonts w:eastAsia="Calibri"/>
              </w:rPr>
              <w:t>Recommendations from NGO case reviews</w:t>
            </w:r>
            <w:bookmarkEnd w:id="4"/>
            <w:bookmarkEnd w:id="5"/>
          </w:p>
        </w:tc>
        <w:tc>
          <w:tcPr>
            <w:tcW w:w="3119" w:type="dxa"/>
            <w:shd w:val="clear" w:color="auto" w:fill="0E8A38" w:themeFill="accent1"/>
          </w:tcPr>
          <w:p w14:paraId="0F7E5A14" w14:textId="77777777" w:rsidR="002573B3" w:rsidRPr="0031384A" w:rsidRDefault="002573B3" w:rsidP="002573B3">
            <w:pPr>
              <w:rPr>
                <w:rFonts w:eastAsia="Calibri" w:cs="Arial"/>
                <w:b/>
                <w:bCs/>
                <w:color w:val="FFFFFF" w:themeColor="background1"/>
                <w:sz w:val="20"/>
                <w:szCs w:val="20"/>
              </w:rPr>
            </w:pPr>
          </w:p>
          <w:p w14:paraId="7D5268EF" w14:textId="77777777" w:rsidR="002573B3" w:rsidRPr="0031384A" w:rsidRDefault="002573B3" w:rsidP="002573B3">
            <w:pPr>
              <w:rPr>
                <w:rFonts w:eastAsia="Calibri" w:cs="Arial"/>
                <w:b/>
                <w:bCs/>
                <w:color w:val="FFFFFF" w:themeColor="background1"/>
                <w:sz w:val="20"/>
                <w:szCs w:val="20"/>
              </w:rPr>
            </w:pPr>
            <w:r w:rsidRPr="0031384A">
              <w:rPr>
                <w:rFonts w:eastAsia="Calibri" w:cs="Arial"/>
                <w:b/>
                <w:bCs/>
                <w:color w:val="FFFFFF" w:themeColor="background1"/>
                <w:sz w:val="20"/>
                <w:szCs w:val="20"/>
              </w:rPr>
              <w:t>Existing provision /gaps</w:t>
            </w:r>
          </w:p>
          <w:p w14:paraId="5D909774" w14:textId="77777777" w:rsidR="002573B3" w:rsidRPr="0031384A" w:rsidRDefault="002573B3" w:rsidP="002573B3">
            <w:pPr>
              <w:rPr>
                <w:rFonts w:eastAsia="Calibri" w:cs="Arial"/>
                <w:b/>
                <w:bCs/>
                <w:color w:val="FFFFFF" w:themeColor="background1"/>
                <w:sz w:val="20"/>
                <w:szCs w:val="20"/>
              </w:rPr>
            </w:pPr>
          </w:p>
        </w:tc>
        <w:tc>
          <w:tcPr>
            <w:tcW w:w="2977" w:type="dxa"/>
            <w:shd w:val="clear" w:color="auto" w:fill="0E8A38" w:themeFill="accent1"/>
          </w:tcPr>
          <w:p w14:paraId="0F0F1615" w14:textId="77777777" w:rsidR="002573B3" w:rsidRPr="0031384A" w:rsidRDefault="002573B3" w:rsidP="002573B3">
            <w:pPr>
              <w:rPr>
                <w:rFonts w:eastAsia="Calibri" w:cs="Arial"/>
                <w:b/>
                <w:bCs/>
                <w:color w:val="FFFFFF" w:themeColor="background1"/>
                <w:sz w:val="20"/>
                <w:szCs w:val="20"/>
              </w:rPr>
            </w:pPr>
          </w:p>
          <w:p w14:paraId="50CEEE68" w14:textId="77777777" w:rsidR="002573B3" w:rsidRPr="0031384A" w:rsidRDefault="002573B3" w:rsidP="002573B3">
            <w:pPr>
              <w:rPr>
                <w:rFonts w:eastAsia="Calibri" w:cs="Arial"/>
                <w:b/>
                <w:bCs/>
                <w:color w:val="FFFFFF" w:themeColor="background1"/>
                <w:sz w:val="20"/>
                <w:szCs w:val="20"/>
              </w:rPr>
            </w:pPr>
            <w:r w:rsidRPr="0031384A">
              <w:rPr>
                <w:rFonts w:eastAsia="Calibri" w:cs="Arial"/>
                <w:b/>
                <w:bCs/>
                <w:color w:val="FFFFFF" w:themeColor="background1"/>
                <w:sz w:val="20"/>
                <w:szCs w:val="20"/>
              </w:rPr>
              <w:t>Action needed</w:t>
            </w:r>
          </w:p>
          <w:p w14:paraId="2D9CF043" w14:textId="77777777" w:rsidR="002573B3" w:rsidRPr="0031384A" w:rsidRDefault="002573B3" w:rsidP="002573B3">
            <w:pPr>
              <w:rPr>
                <w:rFonts w:eastAsia="Calibri" w:cs="Arial"/>
                <w:b/>
                <w:bCs/>
                <w:color w:val="FFFFFF" w:themeColor="background1"/>
                <w:sz w:val="20"/>
                <w:szCs w:val="20"/>
              </w:rPr>
            </w:pPr>
          </w:p>
        </w:tc>
        <w:tc>
          <w:tcPr>
            <w:tcW w:w="1829" w:type="dxa"/>
            <w:shd w:val="clear" w:color="auto" w:fill="0E8A38" w:themeFill="accent1"/>
          </w:tcPr>
          <w:p w14:paraId="78BA0411" w14:textId="77777777" w:rsidR="002573B3" w:rsidRPr="0031384A" w:rsidRDefault="002573B3" w:rsidP="002573B3">
            <w:pPr>
              <w:rPr>
                <w:rFonts w:eastAsia="Calibri" w:cs="Arial"/>
                <w:b/>
                <w:bCs/>
                <w:color w:val="FFFFFF" w:themeColor="background1"/>
                <w:sz w:val="20"/>
                <w:szCs w:val="20"/>
              </w:rPr>
            </w:pPr>
            <w:r w:rsidRPr="0031384A">
              <w:rPr>
                <w:rFonts w:eastAsia="Calibri" w:cs="Arial"/>
                <w:b/>
                <w:bCs/>
                <w:color w:val="FFFFFF" w:themeColor="background1"/>
                <w:sz w:val="20"/>
                <w:szCs w:val="20"/>
              </w:rPr>
              <w:t>Authorised action/</w:t>
            </w:r>
          </w:p>
          <w:p w14:paraId="133AF631" w14:textId="77777777" w:rsidR="002573B3" w:rsidRPr="0031384A" w:rsidRDefault="002573B3" w:rsidP="002573B3">
            <w:pPr>
              <w:rPr>
                <w:rFonts w:eastAsia="Calibri" w:cs="Arial"/>
                <w:b/>
                <w:bCs/>
                <w:color w:val="FFFFFF" w:themeColor="background1"/>
                <w:sz w:val="20"/>
                <w:szCs w:val="20"/>
              </w:rPr>
            </w:pPr>
            <w:r w:rsidRPr="0031384A">
              <w:rPr>
                <w:rFonts w:eastAsia="Calibri" w:cs="Arial"/>
                <w:b/>
                <w:bCs/>
                <w:color w:val="FFFFFF" w:themeColor="background1"/>
                <w:sz w:val="20"/>
                <w:szCs w:val="20"/>
              </w:rPr>
              <w:t>date for completion</w:t>
            </w:r>
          </w:p>
        </w:tc>
        <w:tc>
          <w:tcPr>
            <w:tcW w:w="1147" w:type="dxa"/>
            <w:shd w:val="clear" w:color="auto" w:fill="0E8A38" w:themeFill="accent1"/>
          </w:tcPr>
          <w:p w14:paraId="58036C92" w14:textId="77777777" w:rsidR="002573B3" w:rsidRPr="0031384A" w:rsidRDefault="002573B3" w:rsidP="002573B3">
            <w:pPr>
              <w:rPr>
                <w:rFonts w:eastAsia="Calibri" w:cs="Arial"/>
                <w:b/>
                <w:bCs/>
                <w:color w:val="FFFFFF" w:themeColor="background1"/>
                <w:sz w:val="20"/>
                <w:szCs w:val="20"/>
              </w:rPr>
            </w:pPr>
            <w:r w:rsidRPr="0031384A">
              <w:rPr>
                <w:rFonts w:eastAsia="Calibri" w:cs="Arial"/>
                <w:b/>
                <w:bCs/>
                <w:color w:val="FFFFFF" w:themeColor="background1"/>
                <w:sz w:val="20"/>
                <w:szCs w:val="20"/>
              </w:rPr>
              <w:t>Review date</w:t>
            </w:r>
          </w:p>
        </w:tc>
      </w:tr>
      <w:tr w:rsidR="002573B3" w:rsidRPr="0031384A" w14:paraId="77457F28" w14:textId="77777777" w:rsidTr="002573B3">
        <w:tc>
          <w:tcPr>
            <w:tcW w:w="5098" w:type="dxa"/>
            <w:shd w:val="clear" w:color="auto" w:fill="F2F2F2" w:themeFill="background1" w:themeFillShade="F2"/>
          </w:tcPr>
          <w:p w14:paraId="642B5B78" w14:textId="700988DC" w:rsidR="002573B3" w:rsidRPr="0031384A" w:rsidRDefault="002573B3" w:rsidP="00CA774C">
            <w:pPr>
              <w:pStyle w:val="Heading2"/>
              <w:outlineLvl w:val="1"/>
            </w:pPr>
            <w:bookmarkStart w:id="6" w:name="_Toc90031603"/>
            <w:bookmarkStart w:id="7" w:name="_Toc90905954"/>
            <w:bookmarkStart w:id="8" w:name="_Toc90906100"/>
            <w:bookmarkEnd w:id="6"/>
            <w:r w:rsidRPr="0031384A">
              <w:t>Valuing workers’ views</w:t>
            </w:r>
            <w:bookmarkEnd w:id="7"/>
            <w:bookmarkEnd w:id="8"/>
          </w:p>
          <w:p w14:paraId="6E60E51B" w14:textId="77777777" w:rsidR="002573B3" w:rsidRPr="0031384A" w:rsidRDefault="002573B3" w:rsidP="002573B3">
            <w:pPr>
              <w:rPr>
                <w:rFonts w:cs="Arial"/>
                <w:sz w:val="22"/>
              </w:rPr>
            </w:pPr>
          </w:p>
          <w:p w14:paraId="02D8941F" w14:textId="4C3F1D65" w:rsidR="002573B3" w:rsidRPr="0031384A" w:rsidRDefault="002573B3" w:rsidP="002573B3">
            <w:pPr>
              <w:rPr>
                <w:rFonts w:cs="Arial"/>
                <w:sz w:val="22"/>
              </w:rPr>
            </w:pPr>
            <w:r w:rsidRPr="0031384A">
              <w:rPr>
                <w:rFonts w:cs="Arial"/>
                <w:sz w:val="22"/>
              </w:rPr>
              <w:t>Workers’ views should be valued, including consulting about changes to their services where appropriate.</w:t>
            </w:r>
          </w:p>
        </w:tc>
        <w:tc>
          <w:tcPr>
            <w:tcW w:w="3119" w:type="dxa"/>
          </w:tcPr>
          <w:p w14:paraId="49B71B77" w14:textId="77777777" w:rsidR="002573B3" w:rsidRPr="0031384A" w:rsidRDefault="002573B3" w:rsidP="002573B3">
            <w:pPr>
              <w:rPr>
                <w:rFonts w:eastAsia="Calibri" w:cs="Arial"/>
                <w:sz w:val="22"/>
              </w:rPr>
            </w:pPr>
          </w:p>
        </w:tc>
        <w:tc>
          <w:tcPr>
            <w:tcW w:w="2977" w:type="dxa"/>
          </w:tcPr>
          <w:p w14:paraId="10A57289" w14:textId="77777777" w:rsidR="002573B3" w:rsidRPr="0031384A" w:rsidRDefault="002573B3" w:rsidP="002573B3">
            <w:pPr>
              <w:rPr>
                <w:rFonts w:eastAsia="Calibri" w:cs="Arial"/>
                <w:sz w:val="22"/>
              </w:rPr>
            </w:pPr>
          </w:p>
        </w:tc>
        <w:tc>
          <w:tcPr>
            <w:tcW w:w="1829" w:type="dxa"/>
          </w:tcPr>
          <w:p w14:paraId="3627B522" w14:textId="77777777" w:rsidR="002573B3" w:rsidRPr="0031384A" w:rsidRDefault="002573B3" w:rsidP="002573B3">
            <w:pPr>
              <w:rPr>
                <w:rFonts w:eastAsia="Calibri" w:cs="Arial"/>
                <w:sz w:val="22"/>
              </w:rPr>
            </w:pPr>
          </w:p>
        </w:tc>
        <w:tc>
          <w:tcPr>
            <w:tcW w:w="1147" w:type="dxa"/>
          </w:tcPr>
          <w:p w14:paraId="2C5C9825" w14:textId="77777777" w:rsidR="002573B3" w:rsidRPr="0031384A" w:rsidRDefault="002573B3" w:rsidP="002573B3">
            <w:pPr>
              <w:rPr>
                <w:rFonts w:eastAsia="Calibri" w:cs="Arial"/>
                <w:sz w:val="22"/>
              </w:rPr>
            </w:pPr>
          </w:p>
        </w:tc>
      </w:tr>
      <w:tr w:rsidR="002573B3" w:rsidRPr="0031384A" w14:paraId="423C4F9B" w14:textId="77777777" w:rsidTr="002573B3">
        <w:tc>
          <w:tcPr>
            <w:tcW w:w="5098" w:type="dxa"/>
            <w:shd w:val="clear" w:color="auto" w:fill="F2F2F2" w:themeFill="background1" w:themeFillShade="F2"/>
          </w:tcPr>
          <w:p w14:paraId="402C18D1" w14:textId="68FEE00E" w:rsidR="002573B3" w:rsidRPr="0031384A" w:rsidRDefault="002573B3" w:rsidP="00CA774C">
            <w:pPr>
              <w:pStyle w:val="Heading2"/>
              <w:outlineLvl w:val="1"/>
            </w:pPr>
            <w:bookmarkStart w:id="9" w:name="_Toc90905955"/>
            <w:bookmarkStart w:id="10" w:name="_Toc90906101"/>
            <w:r w:rsidRPr="0031384A">
              <w:t>Speaking up culture</w:t>
            </w:r>
            <w:bookmarkEnd w:id="9"/>
            <w:bookmarkEnd w:id="10"/>
          </w:p>
          <w:p w14:paraId="76C0EA5B" w14:textId="77777777" w:rsidR="002573B3" w:rsidRPr="0031384A" w:rsidRDefault="002573B3" w:rsidP="002573B3">
            <w:pPr>
              <w:pStyle w:val="ListParagraph"/>
              <w:ind w:left="0"/>
              <w:rPr>
                <w:rFonts w:cs="Arial"/>
                <w:sz w:val="22"/>
              </w:rPr>
            </w:pPr>
          </w:p>
          <w:p w14:paraId="26DF7C4B" w14:textId="79C4922A" w:rsidR="002573B3" w:rsidRPr="0031384A" w:rsidRDefault="002573B3" w:rsidP="002573B3">
            <w:pPr>
              <w:rPr>
                <w:rFonts w:cs="Arial"/>
                <w:sz w:val="22"/>
              </w:rPr>
            </w:pPr>
            <w:r w:rsidRPr="0031384A">
              <w:rPr>
                <w:rFonts w:cs="Arial"/>
                <w:sz w:val="22"/>
              </w:rPr>
              <w:t>A suitably independent review of the speaking up culture in the service relating to… [the case reviewed by the NGO] should be undertaken. All necessary steps to implement its findings without undue delay should be taken. Given the evidence of fear of speaking up in this service, the review should take all reasonable steps to protect individuals’ confidentiality.</w:t>
            </w:r>
          </w:p>
        </w:tc>
        <w:tc>
          <w:tcPr>
            <w:tcW w:w="3119" w:type="dxa"/>
          </w:tcPr>
          <w:p w14:paraId="66B02003" w14:textId="55B69327" w:rsidR="002573B3" w:rsidRPr="0031384A" w:rsidRDefault="002573B3" w:rsidP="002573B3">
            <w:pPr>
              <w:rPr>
                <w:rFonts w:eastAsia="Calibri" w:cs="Arial"/>
                <w:sz w:val="22"/>
              </w:rPr>
            </w:pPr>
          </w:p>
        </w:tc>
        <w:tc>
          <w:tcPr>
            <w:tcW w:w="2977" w:type="dxa"/>
          </w:tcPr>
          <w:p w14:paraId="0DC8F9F8" w14:textId="77777777" w:rsidR="002573B3" w:rsidRPr="0031384A" w:rsidRDefault="002573B3" w:rsidP="002573B3">
            <w:pPr>
              <w:rPr>
                <w:rFonts w:eastAsia="Calibri" w:cs="Arial"/>
                <w:sz w:val="22"/>
              </w:rPr>
            </w:pPr>
          </w:p>
        </w:tc>
        <w:tc>
          <w:tcPr>
            <w:tcW w:w="1829" w:type="dxa"/>
          </w:tcPr>
          <w:p w14:paraId="722A61A1" w14:textId="77777777" w:rsidR="002573B3" w:rsidRPr="0031384A" w:rsidRDefault="002573B3" w:rsidP="002573B3">
            <w:pPr>
              <w:rPr>
                <w:rFonts w:eastAsia="Calibri" w:cs="Arial"/>
                <w:sz w:val="22"/>
              </w:rPr>
            </w:pPr>
          </w:p>
        </w:tc>
        <w:tc>
          <w:tcPr>
            <w:tcW w:w="1147" w:type="dxa"/>
          </w:tcPr>
          <w:p w14:paraId="5EF042B7" w14:textId="77777777" w:rsidR="002573B3" w:rsidRPr="0031384A" w:rsidRDefault="002573B3" w:rsidP="002573B3">
            <w:pPr>
              <w:rPr>
                <w:rFonts w:eastAsia="Calibri" w:cs="Arial"/>
                <w:sz w:val="22"/>
              </w:rPr>
            </w:pPr>
          </w:p>
        </w:tc>
      </w:tr>
      <w:tr w:rsidR="002573B3" w:rsidRPr="0031384A" w14:paraId="47642197" w14:textId="77777777" w:rsidTr="002573B3">
        <w:tc>
          <w:tcPr>
            <w:tcW w:w="5098" w:type="dxa"/>
            <w:shd w:val="clear" w:color="auto" w:fill="F2F2F2" w:themeFill="background1" w:themeFillShade="F2"/>
          </w:tcPr>
          <w:p w14:paraId="49E9F8F4" w14:textId="7B0226BE" w:rsidR="002573B3" w:rsidRPr="006319D0" w:rsidRDefault="002573B3" w:rsidP="006319D0">
            <w:pPr>
              <w:rPr>
                <w:b/>
                <w:bCs/>
                <w:color w:val="0E8A38" w:themeColor="text2"/>
                <w:sz w:val="22"/>
              </w:rPr>
            </w:pPr>
            <w:bookmarkStart w:id="11" w:name="_Toc90905956"/>
            <w:bookmarkStart w:id="12" w:name="_Toc90906102"/>
            <w:r w:rsidRPr="006319D0">
              <w:rPr>
                <w:b/>
                <w:bCs/>
                <w:color w:val="0E8A38" w:themeColor="text2"/>
                <w:sz w:val="22"/>
              </w:rPr>
              <w:t>Support to speak up</w:t>
            </w:r>
            <w:bookmarkEnd w:id="11"/>
            <w:bookmarkEnd w:id="12"/>
          </w:p>
          <w:p w14:paraId="30007691" w14:textId="77777777" w:rsidR="002573B3" w:rsidRPr="006319D0" w:rsidRDefault="002573B3" w:rsidP="006319D0">
            <w:pPr>
              <w:rPr>
                <w:rFonts w:cs="Arial"/>
                <w:sz w:val="22"/>
              </w:rPr>
            </w:pPr>
          </w:p>
          <w:p w14:paraId="19D15A51" w14:textId="77777777" w:rsidR="002573B3" w:rsidRPr="006319D0" w:rsidRDefault="002573B3" w:rsidP="006319D0">
            <w:pPr>
              <w:rPr>
                <w:rFonts w:cs="Arial"/>
                <w:sz w:val="22"/>
              </w:rPr>
            </w:pPr>
            <w:r w:rsidRPr="006319D0">
              <w:rPr>
                <w:rFonts w:cs="Arial"/>
                <w:sz w:val="22"/>
              </w:rPr>
              <w:t>Policies and procedures relating to speaking up (including the reporting and handling of incidents) should:</w:t>
            </w:r>
          </w:p>
          <w:p w14:paraId="0F829472" w14:textId="01D2B784" w:rsidR="002573B3" w:rsidRPr="006319D0" w:rsidRDefault="002573B3" w:rsidP="006319D0">
            <w:pPr>
              <w:rPr>
                <w:rFonts w:cs="Arial"/>
                <w:sz w:val="22"/>
              </w:rPr>
            </w:pPr>
            <w:r w:rsidRPr="006319D0">
              <w:rPr>
                <w:rFonts w:cs="Arial"/>
                <w:sz w:val="22"/>
              </w:rPr>
              <w:t>refer to the support available for workers to speak up from the Freedom to Speak Up Guardian and Freedom to Speak Up Champions/Ambassador;</w:t>
            </w:r>
          </w:p>
          <w:p w14:paraId="1F8583AD" w14:textId="5290166D" w:rsidR="002573B3" w:rsidRPr="006319D0" w:rsidRDefault="002573B3" w:rsidP="006319D0">
            <w:pPr>
              <w:rPr>
                <w:rFonts w:cs="Arial"/>
                <w:sz w:val="22"/>
              </w:rPr>
            </w:pPr>
            <w:r w:rsidRPr="006319D0">
              <w:rPr>
                <w:rFonts w:cs="Arial"/>
                <w:sz w:val="22"/>
              </w:rPr>
              <w:t xml:space="preserve">make clear that all workers can seek support, about any issue, from the Freedom to Speak Up Guardian </w:t>
            </w:r>
          </w:p>
          <w:p w14:paraId="60194868" w14:textId="66E57949" w:rsidR="002573B3" w:rsidRPr="006319D0" w:rsidRDefault="002573B3" w:rsidP="006319D0">
            <w:pPr>
              <w:rPr>
                <w:rFonts w:cs="Arial"/>
                <w:sz w:val="22"/>
              </w:rPr>
            </w:pPr>
            <w:r w:rsidRPr="006319D0">
              <w:rPr>
                <w:rFonts w:cs="Arial"/>
                <w:sz w:val="22"/>
              </w:rPr>
              <w:t xml:space="preserve">enable those who speak up to have access to appropriate support. They should be made aware </w:t>
            </w:r>
            <w:r w:rsidRPr="006319D0">
              <w:rPr>
                <w:rFonts w:cs="Arial"/>
                <w:sz w:val="22"/>
              </w:rPr>
              <w:lastRenderedPageBreak/>
              <w:t>of and appropriately supported to access this support in a timely way</w:t>
            </w:r>
          </w:p>
          <w:p w14:paraId="21E75DC7" w14:textId="0D4FA9BE" w:rsidR="002573B3" w:rsidRPr="0031384A" w:rsidRDefault="002573B3" w:rsidP="006319D0">
            <w:pPr>
              <w:rPr>
                <w:rFonts w:cs="Arial"/>
              </w:rPr>
            </w:pPr>
            <w:r w:rsidRPr="006319D0">
              <w:rPr>
                <w:rFonts w:cs="Arial"/>
                <w:sz w:val="22"/>
              </w:rPr>
              <w:t>ensure that letters to suspended workers accurately state their ability to access their Freedom to Speak Up Guardian or Freedom to Speak Up Champion/Ambassador.</w:t>
            </w:r>
            <w:r w:rsidRPr="0031384A">
              <w:rPr>
                <w:rFonts w:cs="Arial"/>
              </w:rPr>
              <w:t xml:space="preserve"> </w:t>
            </w:r>
          </w:p>
        </w:tc>
        <w:tc>
          <w:tcPr>
            <w:tcW w:w="3119" w:type="dxa"/>
          </w:tcPr>
          <w:p w14:paraId="44054F98" w14:textId="77777777" w:rsidR="002573B3" w:rsidRPr="0031384A" w:rsidRDefault="002573B3" w:rsidP="002573B3">
            <w:pPr>
              <w:rPr>
                <w:rFonts w:eastAsia="Calibri" w:cs="Arial"/>
                <w:sz w:val="22"/>
              </w:rPr>
            </w:pPr>
          </w:p>
        </w:tc>
        <w:tc>
          <w:tcPr>
            <w:tcW w:w="2977" w:type="dxa"/>
          </w:tcPr>
          <w:p w14:paraId="1ACB4BD1" w14:textId="77777777" w:rsidR="002573B3" w:rsidRPr="0031384A" w:rsidRDefault="002573B3" w:rsidP="002573B3">
            <w:pPr>
              <w:rPr>
                <w:rFonts w:eastAsia="Calibri" w:cs="Arial"/>
                <w:sz w:val="22"/>
              </w:rPr>
            </w:pPr>
          </w:p>
        </w:tc>
        <w:tc>
          <w:tcPr>
            <w:tcW w:w="1829" w:type="dxa"/>
          </w:tcPr>
          <w:p w14:paraId="0428635A" w14:textId="77777777" w:rsidR="002573B3" w:rsidRPr="0031384A" w:rsidRDefault="002573B3" w:rsidP="002573B3">
            <w:pPr>
              <w:rPr>
                <w:rFonts w:eastAsia="Calibri" w:cs="Arial"/>
                <w:sz w:val="22"/>
              </w:rPr>
            </w:pPr>
          </w:p>
        </w:tc>
        <w:tc>
          <w:tcPr>
            <w:tcW w:w="1147" w:type="dxa"/>
          </w:tcPr>
          <w:p w14:paraId="1C781FAE" w14:textId="77777777" w:rsidR="002573B3" w:rsidRPr="0031384A" w:rsidRDefault="002573B3" w:rsidP="002573B3">
            <w:pPr>
              <w:rPr>
                <w:rFonts w:eastAsia="Calibri" w:cs="Arial"/>
                <w:sz w:val="22"/>
              </w:rPr>
            </w:pPr>
          </w:p>
        </w:tc>
      </w:tr>
      <w:tr w:rsidR="002573B3" w:rsidRPr="0031384A" w14:paraId="1BE53FE5" w14:textId="77777777" w:rsidTr="002573B3">
        <w:tc>
          <w:tcPr>
            <w:tcW w:w="5098" w:type="dxa"/>
            <w:shd w:val="clear" w:color="auto" w:fill="F2F2F2" w:themeFill="background1" w:themeFillShade="F2"/>
          </w:tcPr>
          <w:p w14:paraId="24ADA330" w14:textId="5D54E4B6" w:rsidR="002573B3" w:rsidRPr="006319D0" w:rsidRDefault="002573B3" w:rsidP="006319D0">
            <w:pPr>
              <w:rPr>
                <w:b/>
                <w:bCs/>
                <w:color w:val="0E8A38" w:themeColor="text2"/>
                <w:sz w:val="22"/>
              </w:rPr>
            </w:pPr>
            <w:bookmarkStart w:id="13" w:name="_Toc90905957"/>
            <w:bookmarkStart w:id="14" w:name="_Toc90906103"/>
            <w:r w:rsidRPr="006319D0">
              <w:rPr>
                <w:b/>
                <w:bCs/>
                <w:color w:val="0E8A38" w:themeColor="text2"/>
                <w:sz w:val="22"/>
              </w:rPr>
              <w:t>Responding to speaking up</w:t>
            </w:r>
            <w:bookmarkEnd w:id="13"/>
            <w:bookmarkEnd w:id="14"/>
          </w:p>
          <w:p w14:paraId="345A1F83" w14:textId="77777777" w:rsidR="002573B3" w:rsidRPr="006319D0" w:rsidRDefault="002573B3" w:rsidP="006319D0">
            <w:pPr>
              <w:rPr>
                <w:rFonts w:cs="Arial"/>
                <w:sz w:val="22"/>
              </w:rPr>
            </w:pPr>
          </w:p>
          <w:p w14:paraId="7EF1E38C" w14:textId="77777777" w:rsidR="002573B3" w:rsidRPr="006319D0" w:rsidRDefault="002573B3" w:rsidP="006319D0">
            <w:pPr>
              <w:rPr>
                <w:rFonts w:cs="Arial"/>
                <w:sz w:val="22"/>
              </w:rPr>
            </w:pPr>
            <w:r w:rsidRPr="006319D0">
              <w:rPr>
                <w:rFonts w:cs="Arial"/>
                <w:sz w:val="22"/>
              </w:rPr>
              <w:t xml:space="preserve">The response to issues raised by workers should be in accordance with policies, procedures and good practice. </w:t>
            </w:r>
          </w:p>
          <w:p w14:paraId="26CD197A" w14:textId="77777777" w:rsidR="002573B3" w:rsidRPr="006319D0" w:rsidRDefault="002573B3" w:rsidP="006319D0">
            <w:pPr>
              <w:rPr>
                <w:rFonts w:cs="Arial"/>
                <w:sz w:val="22"/>
              </w:rPr>
            </w:pPr>
          </w:p>
          <w:p w14:paraId="20B36673" w14:textId="77777777" w:rsidR="002573B3" w:rsidRPr="006319D0" w:rsidRDefault="002573B3" w:rsidP="006319D0">
            <w:pPr>
              <w:rPr>
                <w:rFonts w:cs="Arial"/>
                <w:sz w:val="22"/>
              </w:rPr>
            </w:pPr>
            <w:r w:rsidRPr="006319D0">
              <w:rPr>
                <w:rFonts w:cs="Arial"/>
                <w:sz w:val="22"/>
              </w:rPr>
              <w:t>Workers who speak up should be meaningfully thanked.</w:t>
            </w:r>
          </w:p>
          <w:p w14:paraId="57CAEDE9" w14:textId="77777777" w:rsidR="002573B3" w:rsidRPr="006319D0" w:rsidRDefault="002573B3" w:rsidP="006319D0">
            <w:pPr>
              <w:rPr>
                <w:rFonts w:cs="Arial"/>
                <w:sz w:val="22"/>
              </w:rPr>
            </w:pPr>
          </w:p>
          <w:p w14:paraId="1D6E1588" w14:textId="3E73DDD3" w:rsidR="002573B3" w:rsidRPr="006319D0" w:rsidRDefault="002573B3" w:rsidP="006319D0">
            <w:pPr>
              <w:rPr>
                <w:rFonts w:cs="Arial"/>
                <w:sz w:val="22"/>
              </w:rPr>
            </w:pPr>
            <w:r w:rsidRPr="006319D0">
              <w:rPr>
                <w:rFonts w:cs="Arial"/>
                <w:sz w:val="22"/>
              </w:rPr>
              <w:t>The response to cases of workers speaking up, including decisions relating to the investigation of those cases, should not focus on whether the matters in those cases are qualifying or protected disclosures under the Public Interest Disclosure Act 1998.</w:t>
            </w:r>
          </w:p>
          <w:p w14:paraId="0FFBDB49" w14:textId="77777777" w:rsidR="002573B3" w:rsidRPr="006319D0" w:rsidRDefault="002573B3" w:rsidP="006319D0">
            <w:pPr>
              <w:rPr>
                <w:rFonts w:cs="Arial"/>
                <w:sz w:val="22"/>
              </w:rPr>
            </w:pPr>
          </w:p>
          <w:p w14:paraId="233CCE63" w14:textId="77777777" w:rsidR="002573B3" w:rsidRPr="006319D0" w:rsidRDefault="002573B3" w:rsidP="006319D0">
            <w:pPr>
              <w:rPr>
                <w:rFonts w:cs="Arial"/>
                <w:sz w:val="22"/>
              </w:rPr>
            </w:pPr>
            <w:r w:rsidRPr="006319D0">
              <w:rPr>
                <w:rFonts w:cs="Arial"/>
                <w:sz w:val="22"/>
              </w:rPr>
              <w:t>Effective communication with those speaking up should be promoted in order to manage expectations effectively.</w:t>
            </w:r>
          </w:p>
          <w:p w14:paraId="6EC6667B" w14:textId="77777777" w:rsidR="002573B3" w:rsidRPr="006319D0" w:rsidRDefault="002573B3" w:rsidP="006319D0">
            <w:pPr>
              <w:rPr>
                <w:rFonts w:cs="Arial"/>
                <w:sz w:val="22"/>
              </w:rPr>
            </w:pPr>
            <w:r w:rsidRPr="006319D0">
              <w:rPr>
                <w:rFonts w:cs="Arial"/>
                <w:sz w:val="22"/>
              </w:rPr>
              <w:t xml:space="preserve">Workers who speak up should be treated in accordance with the values of the organisation (where the NGO undertook its review): </w:t>
            </w:r>
            <w:r w:rsidRPr="006319D0">
              <w:rPr>
                <w:rFonts w:cs="Arial"/>
                <w:i/>
                <w:iCs/>
                <w:sz w:val="22"/>
              </w:rPr>
              <w:t>openness, care, compassion and respect</w:t>
            </w:r>
            <w:r w:rsidRPr="006319D0">
              <w:rPr>
                <w:rFonts w:cs="Arial"/>
                <w:sz w:val="22"/>
              </w:rPr>
              <w:t>.</w:t>
            </w:r>
          </w:p>
          <w:p w14:paraId="08EB5F73" w14:textId="77777777" w:rsidR="002573B3" w:rsidRPr="006319D0" w:rsidRDefault="002573B3" w:rsidP="006319D0">
            <w:pPr>
              <w:rPr>
                <w:rFonts w:cs="Arial"/>
                <w:sz w:val="22"/>
              </w:rPr>
            </w:pPr>
          </w:p>
          <w:p w14:paraId="3729E951" w14:textId="4EDBB866" w:rsidR="002573B3" w:rsidRPr="0031384A" w:rsidRDefault="002573B3" w:rsidP="006319D0">
            <w:pPr>
              <w:rPr>
                <w:rFonts w:cs="Arial"/>
              </w:rPr>
            </w:pPr>
            <w:r w:rsidRPr="006319D0">
              <w:rPr>
                <w:rFonts w:cs="Arial"/>
                <w:sz w:val="22"/>
              </w:rPr>
              <w:t>Work should be completed to help workers – particularly those responsible for responding to speaking up matters – develop the skills to handle difficult conversations.</w:t>
            </w:r>
          </w:p>
        </w:tc>
        <w:tc>
          <w:tcPr>
            <w:tcW w:w="3119" w:type="dxa"/>
          </w:tcPr>
          <w:p w14:paraId="5DE89394" w14:textId="77777777" w:rsidR="002573B3" w:rsidRPr="0031384A" w:rsidRDefault="002573B3" w:rsidP="002573B3">
            <w:pPr>
              <w:rPr>
                <w:rFonts w:eastAsia="Calibri" w:cs="Arial"/>
                <w:sz w:val="22"/>
              </w:rPr>
            </w:pPr>
          </w:p>
        </w:tc>
        <w:tc>
          <w:tcPr>
            <w:tcW w:w="2977" w:type="dxa"/>
          </w:tcPr>
          <w:p w14:paraId="3E7275B9" w14:textId="77777777" w:rsidR="002573B3" w:rsidRPr="0031384A" w:rsidRDefault="002573B3" w:rsidP="002573B3">
            <w:pPr>
              <w:rPr>
                <w:rFonts w:eastAsia="Calibri" w:cs="Arial"/>
                <w:sz w:val="22"/>
              </w:rPr>
            </w:pPr>
          </w:p>
        </w:tc>
        <w:tc>
          <w:tcPr>
            <w:tcW w:w="1829" w:type="dxa"/>
          </w:tcPr>
          <w:p w14:paraId="481B15B2" w14:textId="77777777" w:rsidR="002573B3" w:rsidRPr="0031384A" w:rsidRDefault="002573B3" w:rsidP="002573B3">
            <w:pPr>
              <w:rPr>
                <w:rFonts w:eastAsia="Calibri" w:cs="Arial"/>
                <w:sz w:val="22"/>
              </w:rPr>
            </w:pPr>
          </w:p>
        </w:tc>
        <w:tc>
          <w:tcPr>
            <w:tcW w:w="1147" w:type="dxa"/>
          </w:tcPr>
          <w:p w14:paraId="521C1F2F" w14:textId="77777777" w:rsidR="002573B3" w:rsidRPr="0031384A" w:rsidRDefault="002573B3" w:rsidP="002573B3">
            <w:pPr>
              <w:rPr>
                <w:rFonts w:eastAsia="Calibri" w:cs="Arial"/>
                <w:sz w:val="22"/>
              </w:rPr>
            </w:pPr>
          </w:p>
        </w:tc>
      </w:tr>
      <w:tr w:rsidR="002573B3" w:rsidRPr="0031384A" w14:paraId="644C2458" w14:textId="77777777" w:rsidTr="002573B3">
        <w:tc>
          <w:tcPr>
            <w:tcW w:w="5098" w:type="dxa"/>
            <w:shd w:val="clear" w:color="auto" w:fill="F2F2F2" w:themeFill="background1" w:themeFillShade="F2"/>
          </w:tcPr>
          <w:p w14:paraId="44D0E44C" w14:textId="38DB1C3D" w:rsidR="002573B3" w:rsidRPr="006319D0" w:rsidRDefault="002573B3" w:rsidP="006319D0">
            <w:pPr>
              <w:rPr>
                <w:b/>
                <w:bCs/>
                <w:sz w:val="22"/>
              </w:rPr>
            </w:pPr>
            <w:bookmarkStart w:id="15" w:name="_Toc90905958"/>
            <w:bookmarkStart w:id="16" w:name="_Toc90906104"/>
            <w:r w:rsidRPr="006319D0">
              <w:rPr>
                <w:b/>
                <w:bCs/>
                <w:color w:val="0E8A38" w:themeColor="text2"/>
                <w:sz w:val="22"/>
              </w:rPr>
              <w:t>Groups facing barriers to speaking up</w:t>
            </w:r>
            <w:bookmarkEnd w:id="15"/>
            <w:bookmarkEnd w:id="16"/>
          </w:p>
          <w:p w14:paraId="1CD3029D" w14:textId="77777777" w:rsidR="002573B3" w:rsidRPr="006319D0" w:rsidRDefault="002573B3" w:rsidP="006319D0">
            <w:pPr>
              <w:rPr>
                <w:rFonts w:cs="Arial"/>
                <w:sz w:val="22"/>
              </w:rPr>
            </w:pPr>
          </w:p>
          <w:p w14:paraId="16E23D3D" w14:textId="77777777" w:rsidR="002573B3" w:rsidRPr="006319D0" w:rsidRDefault="002573B3" w:rsidP="006319D0">
            <w:pPr>
              <w:rPr>
                <w:rFonts w:cs="Arial"/>
                <w:sz w:val="22"/>
              </w:rPr>
            </w:pPr>
            <w:r w:rsidRPr="006319D0">
              <w:rPr>
                <w:rFonts w:cs="Arial"/>
                <w:sz w:val="22"/>
              </w:rPr>
              <w:t xml:space="preserve">Organisations, working in partnership with the Freedom to Speak Up Guardian, should: </w:t>
            </w:r>
          </w:p>
          <w:p w14:paraId="30A0C377" w14:textId="77777777" w:rsidR="002573B3" w:rsidRPr="006319D0" w:rsidRDefault="002573B3" w:rsidP="006319D0">
            <w:pPr>
              <w:rPr>
                <w:rFonts w:cs="Arial"/>
                <w:sz w:val="22"/>
              </w:rPr>
            </w:pPr>
          </w:p>
          <w:p w14:paraId="0054171F" w14:textId="77777777" w:rsidR="002573B3" w:rsidRPr="006319D0" w:rsidRDefault="002573B3" w:rsidP="006319D0">
            <w:pPr>
              <w:rPr>
                <w:rFonts w:cs="Arial"/>
                <w:sz w:val="22"/>
              </w:rPr>
            </w:pPr>
            <w:r w:rsidRPr="006319D0">
              <w:rPr>
                <w:rFonts w:cs="Arial"/>
                <w:sz w:val="22"/>
              </w:rPr>
              <w:t xml:space="preserve">seek to identify groups potentially facing barriers to speaking up and </w:t>
            </w:r>
          </w:p>
          <w:p w14:paraId="3507AF18" w14:textId="77777777" w:rsidR="002573B3" w:rsidRPr="006319D0" w:rsidRDefault="002573B3" w:rsidP="006319D0">
            <w:pPr>
              <w:rPr>
                <w:rFonts w:cs="Arial"/>
                <w:sz w:val="22"/>
              </w:rPr>
            </w:pPr>
            <w:r w:rsidRPr="006319D0">
              <w:rPr>
                <w:rFonts w:cs="Arial"/>
                <w:sz w:val="22"/>
              </w:rPr>
              <w:t>work towards addressing those barriers</w:t>
            </w:r>
          </w:p>
          <w:p w14:paraId="02D4F35B" w14:textId="77777777" w:rsidR="002573B3" w:rsidRPr="006319D0" w:rsidRDefault="002573B3" w:rsidP="006319D0">
            <w:pPr>
              <w:rPr>
                <w:rFonts w:cs="Arial"/>
                <w:sz w:val="22"/>
              </w:rPr>
            </w:pPr>
          </w:p>
          <w:p w14:paraId="3E889E6F" w14:textId="77777777" w:rsidR="002573B3" w:rsidRPr="006319D0" w:rsidRDefault="002573B3" w:rsidP="006319D0">
            <w:pPr>
              <w:rPr>
                <w:rFonts w:cs="Arial"/>
                <w:sz w:val="22"/>
              </w:rPr>
            </w:pPr>
            <w:r w:rsidRPr="006319D0">
              <w:rPr>
                <w:rFonts w:cs="Arial"/>
                <w:sz w:val="22"/>
              </w:rPr>
              <w:t>Support from the Workforce Race Equality Scheme (WRES) Implementation Team should be considered to help meet the needs of ethnic minority workers.</w:t>
            </w:r>
          </w:p>
          <w:p w14:paraId="1A32E0E5" w14:textId="77777777" w:rsidR="002573B3" w:rsidRPr="006319D0" w:rsidRDefault="002573B3" w:rsidP="006319D0">
            <w:pPr>
              <w:rPr>
                <w:rFonts w:cs="Arial"/>
                <w:sz w:val="22"/>
              </w:rPr>
            </w:pPr>
            <w:r w:rsidRPr="006319D0">
              <w:rPr>
                <w:rFonts w:cs="Arial"/>
                <w:sz w:val="22"/>
              </w:rPr>
              <w:t>A senior worker should be appointed as equality, diversity and inclusion lead. This role should be appropriately resourced.</w:t>
            </w:r>
          </w:p>
          <w:p w14:paraId="24E67871" w14:textId="4AF3B9F7" w:rsidR="002573B3" w:rsidRPr="006319D0" w:rsidRDefault="002573B3" w:rsidP="006319D0">
            <w:pPr>
              <w:rPr>
                <w:rFonts w:cs="Arial"/>
                <w:b/>
                <w:sz w:val="22"/>
              </w:rPr>
            </w:pPr>
            <w:r w:rsidRPr="006319D0">
              <w:rPr>
                <w:rFonts w:cs="Arial"/>
                <w:sz w:val="22"/>
              </w:rPr>
              <w:t>The cultural ambassador’s network should reflect the diversity of the workforce that it supports.</w:t>
            </w:r>
          </w:p>
        </w:tc>
        <w:tc>
          <w:tcPr>
            <w:tcW w:w="3119" w:type="dxa"/>
          </w:tcPr>
          <w:p w14:paraId="38A75773" w14:textId="77777777" w:rsidR="002573B3" w:rsidRPr="0031384A" w:rsidRDefault="002573B3" w:rsidP="002573B3">
            <w:pPr>
              <w:rPr>
                <w:rFonts w:eastAsia="Calibri" w:cs="Arial"/>
                <w:sz w:val="22"/>
              </w:rPr>
            </w:pPr>
          </w:p>
        </w:tc>
        <w:tc>
          <w:tcPr>
            <w:tcW w:w="2977" w:type="dxa"/>
          </w:tcPr>
          <w:p w14:paraId="06D2ACCD" w14:textId="77777777" w:rsidR="002573B3" w:rsidRPr="0031384A" w:rsidRDefault="002573B3" w:rsidP="002573B3">
            <w:pPr>
              <w:rPr>
                <w:rFonts w:eastAsia="Calibri" w:cs="Arial"/>
                <w:sz w:val="22"/>
              </w:rPr>
            </w:pPr>
          </w:p>
        </w:tc>
        <w:tc>
          <w:tcPr>
            <w:tcW w:w="1829" w:type="dxa"/>
          </w:tcPr>
          <w:p w14:paraId="5B3BD5AA" w14:textId="77777777" w:rsidR="002573B3" w:rsidRPr="0031384A" w:rsidRDefault="002573B3" w:rsidP="002573B3">
            <w:pPr>
              <w:rPr>
                <w:rFonts w:eastAsia="Calibri" w:cs="Arial"/>
                <w:sz w:val="22"/>
              </w:rPr>
            </w:pPr>
          </w:p>
        </w:tc>
        <w:tc>
          <w:tcPr>
            <w:tcW w:w="1147" w:type="dxa"/>
          </w:tcPr>
          <w:p w14:paraId="2180C682" w14:textId="77777777" w:rsidR="002573B3" w:rsidRPr="0031384A" w:rsidRDefault="002573B3" w:rsidP="002573B3">
            <w:pPr>
              <w:rPr>
                <w:rFonts w:eastAsia="Calibri" w:cs="Arial"/>
                <w:sz w:val="22"/>
              </w:rPr>
            </w:pPr>
          </w:p>
        </w:tc>
      </w:tr>
      <w:tr w:rsidR="002573B3" w:rsidRPr="0031384A" w14:paraId="759BECD3" w14:textId="77777777" w:rsidTr="002573B3">
        <w:tc>
          <w:tcPr>
            <w:tcW w:w="5098" w:type="dxa"/>
            <w:shd w:val="clear" w:color="auto" w:fill="F2F2F2" w:themeFill="background1" w:themeFillShade="F2"/>
          </w:tcPr>
          <w:p w14:paraId="25222B0D" w14:textId="66FE0D99" w:rsidR="002573B3" w:rsidRPr="006319D0" w:rsidRDefault="002573B3" w:rsidP="006319D0">
            <w:pPr>
              <w:rPr>
                <w:b/>
                <w:bCs/>
                <w:color w:val="0E8A38" w:themeColor="text2"/>
                <w:sz w:val="22"/>
              </w:rPr>
            </w:pPr>
            <w:bookmarkStart w:id="17" w:name="_Toc90905959"/>
            <w:bookmarkStart w:id="18" w:name="_Toc90906105"/>
            <w:r w:rsidRPr="006319D0">
              <w:rPr>
                <w:b/>
                <w:bCs/>
                <w:color w:val="0E8A38" w:themeColor="text2"/>
                <w:sz w:val="22"/>
              </w:rPr>
              <w:t>Confidentiality and anonymity</w:t>
            </w:r>
            <w:bookmarkEnd w:id="17"/>
            <w:bookmarkEnd w:id="18"/>
            <w:r w:rsidRPr="006319D0">
              <w:rPr>
                <w:b/>
                <w:bCs/>
                <w:color w:val="0E8A38" w:themeColor="text2"/>
                <w:sz w:val="22"/>
              </w:rPr>
              <w:t xml:space="preserve"> </w:t>
            </w:r>
          </w:p>
          <w:p w14:paraId="2ADA5FCD" w14:textId="77777777" w:rsidR="002573B3" w:rsidRPr="006319D0" w:rsidRDefault="002573B3" w:rsidP="006319D0">
            <w:pPr>
              <w:rPr>
                <w:rFonts w:cs="Arial"/>
                <w:sz w:val="22"/>
              </w:rPr>
            </w:pPr>
          </w:p>
          <w:p w14:paraId="5216C20C" w14:textId="77777777" w:rsidR="002573B3" w:rsidRPr="006319D0" w:rsidRDefault="002573B3" w:rsidP="006319D0">
            <w:pPr>
              <w:rPr>
                <w:rFonts w:cs="Arial"/>
                <w:sz w:val="22"/>
              </w:rPr>
            </w:pPr>
            <w:r w:rsidRPr="006319D0">
              <w:rPr>
                <w:rFonts w:cs="Arial"/>
                <w:sz w:val="22"/>
              </w:rPr>
              <w:t>Speaking up arrangements, including the support provided by the Freedom to Speak Up Guardian, should appropriately protect workers’ confidentiality, and demonstrate understanding and empathy for the needs of individuals.</w:t>
            </w:r>
          </w:p>
          <w:p w14:paraId="5A2895DB" w14:textId="77777777" w:rsidR="002573B3" w:rsidRPr="006319D0" w:rsidRDefault="002573B3" w:rsidP="006319D0">
            <w:pPr>
              <w:rPr>
                <w:rFonts w:cs="Arial"/>
                <w:sz w:val="22"/>
              </w:rPr>
            </w:pPr>
          </w:p>
          <w:p w14:paraId="4E1F2897" w14:textId="77777777" w:rsidR="002573B3" w:rsidRPr="006319D0" w:rsidRDefault="002573B3" w:rsidP="006319D0">
            <w:pPr>
              <w:rPr>
                <w:rFonts w:cs="Arial"/>
                <w:sz w:val="22"/>
              </w:rPr>
            </w:pPr>
            <w:r w:rsidRPr="006319D0">
              <w:rPr>
                <w:rFonts w:cs="Arial"/>
                <w:sz w:val="22"/>
              </w:rPr>
              <w:t>Reasonable steps should be taken to respond to the issues raised by those who speak up in confidence. Matters should be investigated as fully as possible, even where the identities of those speaking up are unknown.</w:t>
            </w:r>
          </w:p>
          <w:p w14:paraId="4E99AE86" w14:textId="77777777" w:rsidR="002573B3" w:rsidRPr="006319D0" w:rsidRDefault="002573B3" w:rsidP="006319D0">
            <w:pPr>
              <w:rPr>
                <w:rFonts w:cs="Arial"/>
                <w:bCs/>
                <w:sz w:val="22"/>
              </w:rPr>
            </w:pPr>
          </w:p>
          <w:p w14:paraId="35B84102" w14:textId="3BF056AA" w:rsidR="002573B3" w:rsidRPr="006319D0" w:rsidRDefault="002573B3" w:rsidP="006319D0">
            <w:pPr>
              <w:rPr>
                <w:rFonts w:cs="Arial"/>
                <w:b/>
                <w:sz w:val="22"/>
              </w:rPr>
            </w:pPr>
            <w:r w:rsidRPr="006319D0">
              <w:rPr>
                <w:rFonts w:cs="Arial"/>
                <w:sz w:val="22"/>
              </w:rPr>
              <w:t>Alleged breaches of confidentiality should be appropriately investigated.</w:t>
            </w:r>
          </w:p>
        </w:tc>
        <w:tc>
          <w:tcPr>
            <w:tcW w:w="3119" w:type="dxa"/>
          </w:tcPr>
          <w:p w14:paraId="78A2B10E" w14:textId="77777777" w:rsidR="002573B3" w:rsidRPr="0031384A" w:rsidRDefault="002573B3" w:rsidP="002573B3">
            <w:pPr>
              <w:rPr>
                <w:rFonts w:eastAsia="Calibri" w:cs="Arial"/>
                <w:sz w:val="22"/>
              </w:rPr>
            </w:pPr>
          </w:p>
        </w:tc>
        <w:tc>
          <w:tcPr>
            <w:tcW w:w="2977" w:type="dxa"/>
          </w:tcPr>
          <w:p w14:paraId="146F634B" w14:textId="77777777" w:rsidR="002573B3" w:rsidRPr="0031384A" w:rsidRDefault="002573B3" w:rsidP="002573B3">
            <w:pPr>
              <w:rPr>
                <w:rFonts w:eastAsia="Calibri" w:cs="Arial"/>
                <w:sz w:val="22"/>
              </w:rPr>
            </w:pPr>
          </w:p>
        </w:tc>
        <w:tc>
          <w:tcPr>
            <w:tcW w:w="1829" w:type="dxa"/>
          </w:tcPr>
          <w:p w14:paraId="1040FBCE" w14:textId="77777777" w:rsidR="002573B3" w:rsidRPr="0031384A" w:rsidRDefault="002573B3" w:rsidP="002573B3">
            <w:pPr>
              <w:rPr>
                <w:rFonts w:eastAsia="Calibri" w:cs="Arial"/>
                <w:sz w:val="22"/>
              </w:rPr>
            </w:pPr>
          </w:p>
        </w:tc>
        <w:tc>
          <w:tcPr>
            <w:tcW w:w="1147" w:type="dxa"/>
          </w:tcPr>
          <w:p w14:paraId="2808D339" w14:textId="77777777" w:rsidR="002573B3" w:rsidRPr="0031384A" w:rsidRDefault="002573B3" w:rsidP="002573B3">
            <w:pPr>
              <w:rPr>
                <w:rFonts w:eastAsia="Calibri" w:cs="Arial"/>
                <w:sz w:val="22"/>
              </w:rPr>
            </w:pPr>
          </w:p>
        </w:tc>
      </w:tr>
      <w:tr w:rsidR="002573B3" w:rsidRPr="0031384A" w14:paraId="233E5D46" w14:textId="77777777" w:rsidTr="002573B3">
        <w:tc>
          <w:tcPr>
            <w:tcW w:w="5098" w:type="dxa"/>
            <w:shd w:val="clear" w:color="auto" w:fill="F2F2F2" w:themeFill="background1" w:themeFillShade="F2"/>
          </w:tcPr>
          <w:p w14:paraId="79D9408D" w14:textId="77777777" w:rsidR="002573B3" w:rsidRPr="006319D0" w:rsidRDefault="002573B3" w:rsidP="006319D0">
            <w:pPr>
              <w:rPr>
                <w:b/>
                <w:bCs/>
                <w:color w:val="0E8A38" w:themeColor="text2"/>
                <w:sz w:val="22"/>
              </w:rPr>
            </w:pPr>
            <w:bookmarkStart w:id="19" w:name="_Toc90905960"/>
            <w:bookmarkStart w:id="20" w:name="_Toc90906106"/>
            <w:bookmarkStart w:id="21" w:name="_Toc90031606"/>
            <w:r w:rsidRPr="006319D0">
              <w:rPr>
                <w:b/>
                <w:bCs/>
                <w:color w:val="0E8A38" w:themeColor="text2"/>
                <w:sz w:val="22"/>
              </w:rPr>
              <w:t>Training – Speak Up, Listen Up and Follow Up</w:t>
            </w:r>
            <w:bookmarkEnd w:id="19"/>
            <w:bookmarkEnd w:id="20"/>
          </w:p>
          <w:p w14:paraId="1E8E62A0" w14:textId="77777777" w:rsidR="002573B3" w:rsidRPr="006319D0" w:rsidRDefault="002573B3" w:rsidP="006319D0">
            <w:pPr>
              <w:rPr>
                <w:rFonts w:cs="Arial"/>
                <w:sz w:val="22"/>
              </w:rPr>
            </w:pPr>
          </w:p>
          <w:p w14:paraId="7DDFDD4D" w14:textId="5D63980E" w:rsidR="002573B3" w:rsidRPr="006319D0" w:rsidRDefault="002573B3" w:rsidP="006319D0">
            <w:pPr>
              <w:rPr>
                <w:rFonts w:cs="Arial"/>
                <w:sz w:val="22"/>
              </w:rPr>
            </w:pPr>
            <w:r w:rsidRPr="006319D0">
              <w:rPr>
                <w:rFonts w:cs="Arial"/>
                <w:sz w:val="22"/>
              </w:rPr>
              <w:lastRenderedPageBreak/>
              <w:t>Effective speaking up training for all workers should be provided and uptake monitored, ensuring this meets the expectations set out in guidelines from the National Guardian’s Office.</w:t>
            </w:r>
          </w:p>
          <w:bookmarkEnd w:id="21"/>
          <w:p w14:paraId="27490294" w14:textId="66C06497" w:rsidR="002573B3" w:rsidRPr="006319D0" w:rsidRDefault="002573B3" w:rsidP="006319D0">
            <w:pPr>
              <w:rPr>
                <w:rFonts w:cs="Arial"/>
                <w:sz w:val="22"/>
              </w:rPr>
            </w:pPr>
          </w:p>
        </w:tc>
        <w:tc>
          <w:tcPr>
            <w:tcW w:w="3119" w:type="dxa"/>
          </w:tcPr>
          <w:p w14:paraId="36F4B7DD" w14:textId="77777777" w:rsidR="002573B3" w:rsidRPr="0031384A" w:rsidRDefault="002573B3" w:rsidP="002573B3">
            <w:pPr>
              <w:rPr>
                <w:rFonts w:eastAsia="Calibri" w:cs="Arial"/>
                <w:sz w:val="22"/>
              </w:rPr>
            </w:pPr>
          </w:p>
        </w:tc>
        <w:tc>
          <w:tcPr>
            <w:tcW w:w="2977" w:type="dxa"/>
          </w:tcPr>
          <w:p w14:paraId="653E79CA" w14:textId="77777777" w:rsidR="002573B3" w:rsidRPr="0031384A" w:rsidRDefault="002573B3" w:rsidP="002573B3">
            <w:pPr>
              <w:rPr>
                <w:rFonts w:eastAsia="Calibri" w:cs="Arial"/>
                <w:sz w:val="22"/>
              </w:rPr>
            </w:pPr>
          </w:p>
        </w:tc>
        <w:tc>
          <w:tcPr>
            <w:tcW w:w="1829" w:type="dxa"/>
          </w:tcPr>
          <w:p w14:paraId="28D338CA" w14:textId="77777777" w:rsidR="002573B3" w:rsidRPr="0031384A" w:rsidRDefault="002573B3" w:rsidP="002573B3">
            <w:pPr>
              <w:rPr>
                <w:rFonts w:eastAsia="Calibri" w:cs="Arial"/>
                <w:sz w:val="22"/>
              </w:rPr>
            </w:pPr>
          </w:p>
        </w:tc>
        <w:tc>
          <w:tcPr>
            <w:tcW w:w="1147" w:type="dxa"/>
          </w:tcPr>
          <w:p w14:paraId="4A366144" w14:textId="77777777" w:rsidR="002573B3" w:rsidRPr="0031384A" w:rsidRDefault="002573B3" w:rsidP="002573B3">
            <w:pPr>
              <w:rPr>
                <w:rFonts w:eastAsia="Calibri" w:cs="Arial"/>
                <w:sz w:val="22"/>
              </w:rPr>
            </w:pPr>
          </w:p>
        </w:tc>
      </w:tr>
      <w:tr w:rsidR="002573B3" w:rsidRPr="0031384A" w14:paraId="55A559DC" w14:textId="77777777" w:rsidTr="002573B3">
        <w:tc>
          <w:tcPr>
            <w:tcW w:w="5098" w:type="dxa"/>
            <w:shd w:val="clear" w:color="auto" w:fill="F2F2F2" w:themeFill="background1" w:themeFillShade="F2"/>
          </w:tcPr>
          <w:p w14:paraId="4B65B967" w14:textId="626F1B62" w:rsidR="002573B3" w:rsidRPr="006319D0" w:rsidRDefault="002573B3" w:rsidP="006319D0">
            <w:pPr>
              <w:rPr>
                <w:rFonts w:eastAsia="Times New Roman" w:cs="Arial"/>
                <w:b/>
                <w:color w:val="0E8A38" w:themeColor="accent1"/>
                <w:sz w:val="22"/>
              </w:rPr>
            </w:pPr>
            <w:bookmarkStart w:id="22" w:name="_Toc90905961"/>
            <w:r w:rsidRPr="006319D0">
              <w:rPr>
                <w:rFonts w:eastAsia="Times New Roman" w:cs="Arial"/>
                <w:b/>
                <w:color w:val="0E8A38" w:themeColor="accent1"/>
                <w:sz w:val="22"/>
              </w:rPr>
              <w:t>Disadvantageous and/or demeaning treatment</w:t>
            </w:r>
            <w:bookmarkEnd w:id="22"/>
            <w:r w:rsidRPr="006319D0">
              <w:rPr>
                <w:rFonts w:eastAsia="Times New Roman" w:cs="Arial"/>
                <w:b/>
                <w:color w:val="0E8A38" w:themeColor="accent1"/>
                <w:sz w:val="22"/>
              </w:rPr>
              <w:t xml:space="preserve"> </w:t>
            </w:r>
          </w:p>
          <w:p w14:paraId="00054C4F" w14:textId="77777777" w:rsidR="002573B3" w:rsidRPr="006319D0" w:rsidRDefault="002573B3" w:rsidP="006319D0">
            <w:pPr>
              <w:rPr>
                <w:rFonts w:cs="Arial"/>
                <w:sz w:val="22"/>
              </w:rPr>
            </w:pPr>
          </w:p>
          <w:p w14:paraId="55B184E2" w14:textId="77777777" w:rsidR="002573B3" w:rsidRPr="006319D0" w:rsidRDefault="002573B3" w:rsidP="006319D0">
            <w:pPr>
              <w:rPr>
                <w:rFonts w:cs="Arial"/>
                <w:sz w:val="22"/>
              </w:rPr>
            </w:pPr>
            <w:r w:rsidRPr="006319D0">
              <w:rPr>
                <w:rFonts w:cs="Arial"/>
                <w:sz w:val="22"/>
              </w:rPr>
              <w:t>It should be communicated that detriment for speaking up will not be tolerated.</w:t>
            </w:r>
          </w:p>
          <w:p w14:paraId="0E475396" w14:textId="77777777" w:rsidR="002573B3" w:rsidRPr="006319D0" w:rsidRDefault="002573B3" w:rsidP="006319D0">
            <w:pPr>
              <w:rPr>
                <w:rFonts w:cs="Arial"/>
                <w:sz w:val="22"/>
              </w:rPr>
            </w:pPr>
          </w:p>
          <w:p w14:paraId="1643AE6B" w14:textId="77777777" w:rsidR="002573B3" w:rsidRPr="006319D0" w:rsidRDefault="002573B3" w:rsidP="006319D0">
            <w:pPr>
              <w:rPr>
                <w:rFonts w:cs="Arial"/>
                <w:sz w:val="22"/>
              </w:rPr>
            </w:pPr>
            <w:r w:rsidRPr="006319D0">
              <w:rPr>
                <w:rFonts w:cs="Arial"/>
                <w:sz w:val="22"/>
              </w:rPr>
              <w:t>Action should be taken to prevent detriment occurring.</w:t>
            </w:r>
          </w:p>
          <w:p w14:paraId="515E41D7" w14:textId="77777777" w:rsidR="002573B3" w:rsidRPr="006319D0" w:rsidRDefault="002573B3" w:rsidP="006319D0">
            <w:pPr>
              <w:rPr>
                <w:rFonts w:cs="Arial"/>
                <w:sz w:val="22"/>
              </w:rPr>
            </w:pPr>
          </w:p>
          <w:p w14:paraId="3D86E9F5" w14:textId="77777777" w:rsidR="002573B3" w:rsidRPr="006319D0" w:rsidRDefault="002573B3" w:rsidP="006319D0">
            <w:pPr>
              <w:rPr>
                <w:rFonts w:cs="Arial"/>
                <w:sz w:val="22"/>
              </w:rPr>
            </w:pPr>
            <w:r w:rsidRPr="006319D0">
              <w:rPr>
                <w:rFonts w:cs="Arial"/>
                <w:sz w:val="22"/>
              </w:rPr>
              <w:t>There should be procedures to allow cases of alleged detriment to be looked into effectively when they are reported.</w:t>
            </w:r>
          </w:p>
          <w:p w14:paraId="7C58AF78" w14:textId="77777777" w:rsidR="002573B3" w:rsidRPr="006319D0" w:rsidRDefault="002573B3" w:rsidP="006319D0">
            <w:pPr>
              <w:rPr>
                <w:rFonts w:cs="Arial"/>
                <w:sz w:val="22"/>
              </w:rPr>
            </w:pPr>
          </w:p>
          <w:p w14:paraId="00B0C153" w14:textId="10469EE8" w:rsidR="002573B3" w:rsidRPr="006319D0" w:rsidRDefault="002573B3" w:rsidP="006319D0">
            <w:pPr>
              <w:rPr>
                <w:rFonts w:cs="Arial"/>
                <w:b/>
                <w:sz w:val="22"/>
              </w:rPr>
            </w:pPr>
            <w:r w:rsidRPr="006319D0">
              <w:rPr>
                <w:rFonts w:cs="Arial"/>
                <w:sz w:val="22"/>
              </w:rPr>
              <w:t>Investigations into the alleged conduct of workers who have previously spoken up should also seek to identify whether the allegations about the worker are motivated by a desire to cause them detriment because they spoke up. If evidence of detriment is found, appropriate action should be taken. The disciplinary policy should be amended to require such action.</w:t>
            </w:r>
          </w:p>
        </w:tc>
        <w:tc>
          <w:tcPr>
            <w:tcW w:w="3119" w:type="dxa"/>
          </w:tcPr>
          <w:p w14:paraId="17F54607" w14:textId="77777777" w:rsidR="002573B3" w:rsidRPr="0031384A" w:rsidRDefault="002573B3" w:rsidP="002573B3">
            <w:pPr>
              <w:rPr>
                <w:rFonts w:eastAsia="Calibri" w:cs="Arial"/>
                <w:sz w:val="22"/>
              </w:rPr>
            </w:pPr>
          </w:p>
        </w:tc>
        <w:tc>
          <w:tcPr>
            <w:tcW w:w="2977" w:type="dxa"/>
          </w:tcPr>
          <w:p w14:paraId="378C28DA" w14:textId="77777777" w:rsidR="002573B3" w:rsidRPr="0031384A" w:rsidRDefault="002573B3" w:rsidP="002573B3">
            <w:pPr>
              <w:rPr>
                <w:rFonts w:eastAsia="Calibri" w:cs="Arial"/>
                <w:sz w:val="22"/>
              </w:rPr>
            </w:pPr>
          </w:p>
        </w:tc>
        <w:tc>
          <w:tcPr>
            <w:tcW w:w="1829" w:type="dxa"/>
          </w:tcPr>
          <w:p w14:paraId="1707FBEB" w14:textId="77777777" w:rsidR="002573B3" w:rsidRPr="0031384A" w:rsidRDefault="002573B3" w:rsidP="002573B3">
            <w:pPr>
              <w:rPr>
                <w:rFonts w:eastAsia="Calibri" w:cs="Arial"/>
                <w:sz w:val="22"/>
              </w:rPr>
            </w:pPr>
          </w:p>
        </w:tc>
        <w:tc>
          <w:tcPr>
            <w:tcW w:w="1147" w:type="dxa"/>
          </w:tcPr>
          <w:p w14:paraId="28581188" w14:textId="77777777" w:rsidR="002573B3" w:rsidRPr="0031384A" w:rsidRDefault="002573B3" w:rsidP="002573B3">
            <w:pPr>
              <w:rPr>
                <w:rFonts w:eastAsia="Calibri" w:cs="Arial"/>
                <w:sz w:val="22"/>
              </w:rPr>
            </w:pPr>
          </w:p>
        </w:tc>
      </w:tr>
      <w:tr w:rsidR="002573B3" w:rsidRPr="0031384A" w14:paraId="5224FB28" w14:textId="77777777" w:rsidTr="002573B3">
        <w:tc>
          <w:tcPr>
            <w:tcW w:w="5098" w:type="dxa"/>
            <w:shd w:val="clear" w:color="auto" w:fill="F2F2F2" w:themeFill="background1" w:themeFillShade="F2"/>
          </w:tcPr>
          <w:p w14:paraId="43752364" w14:textId="59B03426" w:rsidR="002573B3" w:rsidRPr="006319D0" w:rsidRDefault="002573B3" w:rsidP="006319D0">
            <w:pPr>
              <w:rPr>
                <w:b/>
                <w:bCs/>
                <w:color w:val="0E8A38" w:themeColor="text2"/>
                <w:sz w:val="22"/>
              </w:rPr>
            </w:pPr>
            <w:bookmarkStart w:id="23" w:name="_Toc90905962"/>
            <w:bookmarkStart w:id="24" w:name="_Toc90906107"/>
            <w:r w:rsidRPr="006319D0">
              <w:rPr>
                <w:b/>
                <w:bCs/>
                <w:color w:val="0E8A38" w:themeColor="text2"/>
                <w:sz w:val="22"/>
              </w:rPr>
              <w:t>Bullying and harassment, poor working relationships and unwanted and/or unprofessional behaviours</w:t>
            </w:r>
            <w:bookmarkEnd w:id="23"/>
            <w:bookmarkEnd w:id="24"/>
          </w:p>
          <w:p w14:paraId="7FDB7E54" w14:textId="77777777" w:rsidR="002573B3" w:rsidRPr="006319D0" w:rsidRDefault="002573B3" w:rsidP="006319D0">
            <w:pPr>
              <w:rPr>
                <w:rFonts w:cs="Arial"/>
                <w:sz w:val="22"/>
              </w:rPr>
            </w:pPr>
          </w:p>
          <w:p w14:paraId="548867BA" w14:textId="77777777" w:rsidR="002573B3" w:rsidRPr="006319D0" w:rsidRDefault="002573B3" w:rsidP="006319D0">
            <w:pPr>
              <w:rPr>
                <w:rFonts w:cs="Arial"/>
                <w:sz w:val="22"/>
              </w:rPr>
            </w:pPr>
            <w:r w:rsidRPr="006319D0">
              <w:rPr>
                <w:rFonts w:cs="Arial"/>
                <w:sz w:val="22"/>
              </w:rPr>
              <w:t>The programme of work to challenge unwanted and/or unprofessional behaviours should be continued and reviewed for effectiveness.</w:t>
            </w:r>
          </w:p>
          <w:p w14:paraId="6E3CE5FC" w14:textId="77777777" w:rsidR="002573B3" w:rsidRPr="006319D0" w:rsidRDefault="002573B3" w:rsidP="006319D0">
            <w:pPr>
              <w:rPr>
                <w:rFonts w:cs="Arial"/>
                <w:sz w:val="22"/>
              </w:rPr>
            </w:pPr>
          </w:p>
          <w:p w14:paraId="10001EDE" w14:textId="77777777" w:rsidR="002573B3" w:rsidRPr="006319D0" w:rsidRDefault="002573B3" w:rsidP="006319D0">
            <w:pPr>
              <w:rPr>
                <w:rFonts w:cs="Arial"/>
                <w:sz w:val="22"/>
              </w:rPr>
            </w:pPr>
            <w:r w:rsidRPr="006319D0">
              <w:rPr>
                <w:rFonts w:cs="Arial"/>
                <w:sz w:val="22"/>
              </w:rPr>
              <w:t xml:space="preserve">Appropriate measures should be taken to identify the causes of poor working relationships and </w:t>
            </w:r>
            <w:r w:rsidRPr="006319D0">
              <w:rPr>
                <w:rFonts w:cs="Arial"/>
                <w:sz w:val="22"/>
              </w:rPr>
              <w:lastRenderedPageBreak/>
              <w:t>implement effective actions to remedy those causes, including steps to measure the effective of those actions.</w:t>
            </w:r>
          </w:p>
          <w:p w14:paraId="5F45AB59" w14:textId="77777777" w:rsidR="002573B3" w:rsidRPr="006319D0" w:rsidRDefault="002573B3" w:rsidP="006319D0">
            <w:pPr>
              <w:rPr>
                <w:rFonts w:cs="Arial"/>
                <w:sz w:val="22"/>
              </w:rPr>
            </w:pPr>
          </w:p>
          <w:p w14:paraId="6FACEB62" w14:textId="77777777" w:rsidR="002573B3" w:rsidRPr="006319D0" w:rsidRDefault="002573B3" w:rsidP="006319D0">
            <w:pPr>
              <w:rPr>
                <w:rFonts w:cs="Arial"/>
                <w:sz w:val="22"/>
              </w:rPr>
            </w:pPr>
            <w:r w:rsidRPr="006319D0">
              <w:rPr>
                <w:rFonts w:cs="Arial"/>
                <w:sz w:val="22"/>
              </w:rPr>
              <w:t>An action plan should be developed to address bullying behaviour and develop a working culture that is free from bullying, including providing anti-bullying training for all workers.</w:t>
            </w:r>
          </w:p>
          <w:p w14:paraId="282D8238" w14:textId="77777777" w:rsidR="002573B3" w:rsidRPr="006319D0" w:rsidRDefault="002573B3" w:rsidP="006319D0">
            <w:pPr>
              <w:rPr>
                <w:rFonts w:cs="Arial"/>
                <w:sz w:val="22"/>
              </w:rPr>
            </w:pPr>
          </w:p>
          <w:p w14:paraId="075418A7" w14:textId="74C5079F" w:rsidR="002573B3" w:rsidRPr="006319D0" w:rsidRDefault="002573B3" w:rsidP="006319D0">
            <w:pPr>
              <w:rPr>
                <w:rFonts w:cs="Arial"/>
                <w:sz w:val="22"/>
              </w:rPr>
            </w:pPr>
            <w:r w:rsidRPr="006319D0">
              <w:rPr>
                <w:rFonts w:cs="Arial"/>
                <w:sz w:val="22"/>
              </w:rPr>
              <w:t>The bullying and harassment policy and procedure should be consistent with the standards in the bullying and harassment guidance issued by NHS E/I, including implementation and monitoring of the policy and ensuring its contents are shared with workers.</w:t>
            </w:r>
          </w:p>
        </w:tc>
        <w:tc>
          <w:tcPr>
            <w:tcW w:w="3119" w:type="dxa"/>
          </w:tcPr>
          <w:p w14:paraId="40426449" w14:textId="77777777" w:rsidR="002573B3" w:rsidRPr="0031384A" w:rsidRDefault="002573B3" w:rsidP="002573B3">
            <w:pPr>
              <w:rPr>
                <w:rFonts w:eastAsia="Calibri" w:cs="Arial"/>
                <w:sz w:val="22"/>
              </w:rPr>
            </w:pPr>
          </w:p>
        </w:tc>
        <w:tc>
          <w:tcPr>
            <w:tcW w:w="2977" w:type="dxa"/>
          </w:tcPr>
          <w:p w14:paraId="4E0E1608" w14:textId="77777777" w:rsidR="002573B3" w:rsidRPr="0031384A" w:rsidRDefault="002573B3" w:rsidP="002573B3">
            <w:pPr>
              <w:rPr>
                <w:rFonts w:eastAsia="Calibri" w:cs="Arial"/>
                <w:sz w:val="22"/>
              </w:rPr>
            </w:pPr>
          </w:p>
        </w:tc>
        <w:tc>
          <w:tcPr>
            <w:tcW w:w="1829" w:type="dxa"/>
          </w:tcPr>
          <w:p w14:paraId="0D701371" w14:textId="77777777" w:rsidR="002573B3" w:rsidRPr="0031384A" w:rsidRDefault="002573B3" w:rsidP="002573B3">
            <w:pPr>
              <w:rPr>
                <w:rFonts w:eastAsia="Calibri" w:cs="Arial"/>
                <w:sz w:val="22"/>
              </w:rPr>
            </w:pPr>
          </w:p>
        </w:tc>
        <w:tc>
          <w:tcPr>
            <w:tcW w:w="1147" w:type="dxa"/>
          </w:tcPr>
          <w:p w14:paraId="1FA6840F" w14:textId="77777777" w:rsidR="002573B3" w:rsidRPr="0031384A" w:rsidRDefault="002573B3" w:rsidP="002573B3">
            <w:pPr>
              <w:rPr>
                <w:rFonts w:eastAsia="Calibri" w:cs="Arial"/>
                <w:sz w:val="22"/>
              </w:rPr>
            </w:pPr>
          </w:p>
        </w:tc>
      </w:tr>
      <w:tr w:rsidR="002573B3" w:rsidRPr="0031384A" w14:paraId="565B2410" w14:textId="77777777" w:rsidTr="002573B3">
        <w:tc>
          <w:tcPr>
            <w:tcW w:w="5098" w:type="dxa"/>
            <w:shd w:val="clear" w:color="auto" w:fill="F2F2F2" w:themeFill="background1" w:themeFillShade="F2"/>
          </w:tcPr>
          <w:p w14:paraId="6FC400D9" w14:textId="76B18351" w:rsidR="002573B3" w:rsidRPr="006319D0" w:rsidRDefault="002573B3" w:rsidP="006319D0">
            <w:pPr>
              <w:rPr>
                <w:b/>
                <w:bCs/>
                <w:color w:val="0E8A38" w:themeColor="text2"/>
                <w:sz w:val="22"/>
              </w:rPr>
            </w:pPr>
            <w:bookmarkStart w:id="25" w:name="_Toc90905963"/>
            <w:bookmarkStart w:id="26" w:name="_Toc90906108"/>
            <w:r w:rsidRPr="006319D0">
              <w:rPr>
                <w:b/>
                <w:bCs/>
                <w:color w:val="0E8A38" w:themeColor="text2"/>
                <w:sz w:val="22"/>
              </w:rPr>
              <w:t>Mediation</w:t>
            </w:r>
            <w:bookmarkEnd w:id="25"/>
            <w:bookmarkEnd w:id="26"/>
          </w:p>
          <w:p w14:paraId="4D61846F" w14:textId="77777777" w:rsidR="002573B3" w:rsidRPr="006319D0" w:rsidRDefault="002573B3" w:rsidP="006319D0">
            <w:pPr>
              <w:rPr>
                <w:rFonts w:cs="Arial"/>
                <w:sz w:val="22"/>
              </w:rPr>
            </w:pPr>
          </w:p>
          <w:p w14:paraId="35AD364A" w14:textId="77777777" w:rsidR="002573B3" w:rsidRPr="006319D0" w:rsidRDefault="002573B3" w:rsidP="006319D0">
            <w:pPr>
              <w:rPr>
                <w:rFonts w:cs="Arial"/>
                <w:sz w:val="22"/>
              </w:rPr>
            </w:pPr>
            <w:r w:rsidRPr="006319D0">
              <w:rPr>
                <w:rFonts w:cs="Arial"/>
                <w:sz w:val="22"/>
              </w:rPr>
              <w:t xml:space="preserve">Mediation should be actively promoted and facilitated, where appropriate, to resolve issues arising from speaking up. </w:t>
            </w:r>
          </w:p>
          <w:p w14:paraId="20E5A329" w14:textId="77777777" w:rsidR="002573B3" w:rsidRPr="006319D0" w:rsidRDefault="002573B3" w:rsidP="006319D0">
            <w:pPr>
              <w:rPr>
                <w:rFonts w:cs="Arial"/>
                <w:sz w:val="22"/>
              </w:rPr>
            </w:pPr>
          </w:p>
          <w:p w14:paraId="555E1F4C" w14:textId="51089012" w:rsidR="002573B3" w:rsidRPr="006319D0" w:rsidRDefault="002573B3" w:rsidP="006319D0">
            <w:pPr>
              <w:rPr>
                <w:rFonts w:eastAsia="Calibri" w:cs="Arial"/>
                <w:sz w:val="22"/>
              </w:rPr>
            </w:pPr>
            <w:r w:rsidRPr="006319D0">
              <w:rPr>
                <w:rFonts w:cs="Arial"/>
                <w:sz w:val="22"/>
              </w:rPr>
              <w:t>Managers and HR workers should be up to date with guidance on explaining the value of mediation to workers.</w:t>
            </w:r>
          </w:p>
        </w:tc>
        <w:tc>
          <w:tcPr>
            <w:tcW w:w="3119" w:type="dxa"/>
          </w:tcPr>
          <w:p w14:paraId="16E37A75" w14:textId="77777777" w:rsidR="002573B3" w:rsidRPr="0031384A" w:rsidRDefault="002573B3" w:rsidP="002573B3">
            <w:pPr>
              <w:rPr>
                <w:rFonts w:eastAsia="Calibri" w:cs="Arial"/>
                <w:sz w:val="22"/>
              </w:rPr>
            </w:pPr>
          </w:p>
        </w:tc>
        <w:tc>
          <w:tcPr>
            <w:tcW w:w="2977" w:type="dxa"/>
          </w:tcPr>
          <w:p w14:paraId="2FDD97CC" w14:textId="77777777" w:rsidR="002573B3" w:rsidRPr="0031384A" w:rsidRDefault="002573B3" w:rsidP="002573B3">
            <w:pPr>
              <w:rPr>
                <w:rFonts w:eastAsia="Calibri" w:cs="Arial"/>
                <w:sz w:val="22"/>
              </w:rPr>
            </w:pPr>
          </w:p>
        </w:tc>
        <w:tc>
          <w:tcPr>
            <w:tcW w:w="1829" w:type="dxa"/>
          </w:tcPr>
          <w:p w14:paraId="631536E9" w14:textId="77777777" w:rsidR="002573B3" w:rsidRPr="0031384A" w:rsidRDefault="002573B3" w:rsidP="002573B3">
            <w:pPr>
              <w:rPr>
                <w:rFonts w:eastAsia="Calibri" w:cs="Arial"/>
                <w:sz w:val="22"/>
              </w:rPr>
            </w:pPr>
          </w:p>
        </w:tc>
        <w:tc>
          <w:tcPr>
            <w:tcW w:w="1147" w:type="dxa"/>
          </w:tcPr>
          <w:p w14:paraId="3FE885A0" w14:textId="77777777" w:rsidR="002573B3" w:rsidRPr="0031384A" w:rsidRDefault="002573B3" w:rsidP="002573B3">
            <w:pPr>
              <w:rPr>
                <w:rFonts w:eastAsia="Calibri" w:cs="Arial"/>
                <w:sz w:val="22"/>
              </w:rPr>
            </w:pPr>
          </w:p>
        </w:tc>
      </w:tr>
    </w:tbl>
    <w:p w14:paraId="4F6A6601" w14:textId="77777777" w:rsidR="00115FE5" w:rsidRDefault="00115FE5">
      <w:r>
        <w:br w:type="page"/>
      </w:r>
    </w:p>
    <w:tbl>
      <w:tblPr>
        <w:tblStyle w:val="TableGrid1"/>
        <w:tblW w:w="14170" w:type="dxa"/>
        <w:tblLayout w:type="fixed"/>
        <w:tblLook w:val="04A0" w:firstRow="1" w:lastRow="0" w:firstColumn="1" w:lastColumn="0" w:noHBand="0" w:noVBand="1"/>
      </w:tblPr>
      <w:tblGrid>
        <w:gridCol w:w="5098"/>
        <w:gridCol w:w="3119"/>
        <w:gridCol w:w="2977"/>
        <w:gridCol w:w="1829"/>
        <w:gridCol w:w="1147"/>
      </w:tblGrid>
      <w:tr w:rsidR="00E51982" w:rsidRPr="006E0841" w14:paraId="7A561F29" w14:textId="77777777" w:rsidTr="002A72F4">
        <w:tc>
          <w:tcPr>
            <w:tcW w:w="14170" w:type="dxa"/>
            <w:gridSpan w:val="5"/>
            <w:shd w:val="clear" w:color="auto" w:fill="E8E3EF" w:themeFill="accent4" w:themeFillTint="66"/>
          </w:tcPr>
          <w:bookmarkStart w:id="27" w:name="_Toc90905964"/>
          <w:bookmarkStart w:id="28" w:name="_Toc90906109"/>
          <w:bookmarkStart w:id="29" w:name="_FREEDOM_TO_SPEAK"/>
          <w:bookmarkEnd w:id="29"/>
          <w:p w14:paraId="3AB985FD" w14:textId="4571066D" w:rsidR="00E51982" w:rsidRPr="006E0841" w:rsidRDefault="002F34E6" w:rsidP="00CA774C">
            <w:pPr>
              <w:pStyle w:val="Heading1"/>
              <w:outlineLvl w:val="0"/>
              <w:rPr>
                <w:rFonts w:ascii="Calibri" w:hAnsi="Calibri" w:cs="Times New Roman"/>
                <w:sz w:val="22"/>
              </w:rPr>
            </w:pPr>
            <w:r>
              <w:lastRenderedPageBreak/>
              <w:fldChar w:fldCharType="begin"/>
            </w:r>
            <w:r>
              <w:instrText xml:space="preserve"> HYPERLINK  \l "_FREEDOM_TO_SPEAK" </w:instrText>
            </w:r>
            <w:r>
              <w:fldChar w:fldCharType="separate"/>
            </w:r>
            <w:r w:rsidR="00E51982" w:rsidRPr="002F34E6">
              <w:rPr>
                <w:rStyle w:val="Hyperlink"/>
              </w:rPr>
              <w:t>FREEDOM TO SPEAK UP GUARDIANS</w:t>
            </w:r>
            <w:bookmarkEnd w:id="27"/>
            <w:bookmarkEnd w:id="28"/>
            <w:r>
              <w:fldChar w:fldCharType="end"/>
            </w:r>
          </w:p>
        </w:tc>
      </w:tr>
      <w:tr w:rsidR="0031384A" w:rsidRPr="0031384A" w14:paraId="3DD3726D" w14:textId="77777777" w:rsidTr="002A72F4">
        <w:tc>
          <w:tcPr>
            <w:tcW w:w="5098" w:type="dxa"/>
            <w:shd w:val="clear" w:color="auto" w:fill="0E8A38" w:themeFill="accent1"/>
          </w:tcPr>
          <w:p w14:paraId="45D5CA94" w14:textId="77777777" w:rsidR="0031384A" w:rsidRPr="0031384A" w:rsidRDefault="0031384A" w:rsidP="00CA774C">
            <w:pPr>
              <w:pStyle w:val="Heading2"/>
              <w:outlineLvl w:val="1"/>
            </w:pPr>
            <w:bookmarkStart w:id="30" w:name="_Toc90905965"/>
            <w:bookmarkStart w:id="31" w:name="_Toc90906110"/>
            <w:r w:rsidRPr="0031384A">
              <w:rPr>
                <w:rFonts w:eastAsia="Calibri"/>
              </w:rPr>
              <w:t>Recommendations from NGO case reviews</w:t>
            </w:r>
            <w:bookmarkEnd w:id="30"/>
            <w:bookmarkEnd w:id="31"/>
          </w:p>
        </w:tc>
        <w:tc>
          <w:tcPr>
            <w:tcW w:w="3119" w:type="dxa"/>
            <w:shd w:val="clear" w:color="auto" w:fill="0E8A38" w:themeFill="accent1"/>
          </w:tcPr>
          <w:p w14:paraId="35C97A2A" w14:textId="77777777" w:rsidR="0031384A" w:rsidRPr="0031384A" w:rsidRDefault="0031384A" w:rsidP="002A72F4">
            <w:pPr>
              <w:rPr>
                <w:rFonts w:eastAsia="Calibri" w:cs="Arial"/>
                <w:b/>
                <w:bCs/>
                <w:color w:val="FFFFFF" w:themeColor="background1"/>
                <w:sz w:val="20"/>
                <w:szCs w:val="20"/>
              </w:rPr>
            </w:pPr>
          </w:p>
          <w:p w14:paraId="0D607467" w14:textId="77777777" w:rsidR="0031384A" w:rsidRPr="0031384A" w:rsidRDefault="0031384A" w:rsidP="002A72F4">
            <w:pPr>
              <w:rPr>
                <w:rFonts w:eastAsia="Calibri" w:cs="Arial"/>
                <w:b/>
                <w:bCs/>
                <w:color w:val="FFFFFF" w:themeColor="background1"/>
                <w:sz w:val="20"/>
                <w:szCs w:val="20"/>
              </w:rPr>
            </w:pPr>
            <w:r w:rsidRPr="0031384A">
              <w:rPr>
                <w:rFonts w:eastAsia="Calibri" w:cs="Arial"/>
                <w:b/>
                <w:bCs/>
                <w:color w:val="FFFFFF" w:themeColor="background1"/>
                <w:sz w:val="20"/>
                <w:szCs w:val="20"/>
              </w:rPr>
              <w:t>Existing provision /gaps</w:t>
            </w:r>
          </w:p>
          <w:p w14:paraId="485E5069" w14:textId="77777777" w:rsidR="0031384A" w:rsidRPr="0031384A" w:rsidRDefault="0031384A" w:rsidP="002A72F4">
            <w:pPr>
              <w:rPr>
                <w:rFonts w:eastAsia="Calibri" w:cs="Arial"/>
                <w:b/>
                <w:bCs/>
                <w:color w:val="FFFFFF" w:themeColor="background1"/>
                <w:sz w:val="20"/>
                <w:szCs w:val="20"/>
              </w:rPr>
            </w:pPr>
          </w:p>
        </w:tc>
        <w:tc>
          <w:tcPr>
            <w:tcW w:w="2977" w:type="dxa"/>
            <w:shd w:val="clear" w:color="auto" w:fill="0E8A38" w:themeFill="accent1"/>
          </w:tcPr>
          <w:p w14:paraId="653FA070" w14:textId="77777777" w:rsidR="0031384A" w:rsidRPr="0031384A" w:rsidRDefault="0031384A" w:rsidP="002A72F4">
            <w:pPr>
              <w:rPr>
                <w:rFonts w:eastAsia="Calibri" w:cs="Arial"/>
                <w:b/>
                <w:bCs/>
                <w:color w:val="FFFFFF" w:themeColor="background1"/>
                <w:sz w:val="20"/>
                <w:szCs w:val="20"/>
              </w:rPr>
            </w:pPr>
          </w:p>
          <w:p w14:paraId="54FACFCA" w14:textId="77777777" w:rsidR="0031384A" w:rsidRPr="0031384A" w:rsidRDefault="0031384A" w:rsidP="002A72F4">
            <w:pPr>
              <w:rPr>
                <w:rFonts w:eastAsia="Calibri" w:cs="Arial"/>
                <w:b/>
                <w:bCs/>
                <w:color w:val="FFFFFF" w:themeColor="background1"/>
                <w:sz w:val="20"/>
                <w:szCs w:val="20"/>
              </w:rPr>
            </w:pPr>
            <w:r w:rsidRPr="0031384A">
              <w:rPr>
                <w:rFonts w:eastAsia="Calibri" w:cs="Arial"/>
                <w:b/>
                <w:bCs/>
                <w:color w:val="FFFFFF" w:themeColor="background1"/>
                <w:sz w:val="20"/>
                <w:szCs w:val="20"/>
              </w:rPr>
              <w:t>Action needed</w:t>
            </w:r>
          </w:p>
          <w:p w14:paraId="35024FD3" w14:textId="77777777" w:rsidR="0031384A" w:rsidRPr="0031384A" w:rsidRDefault="0031384A" w:rsidP="002A72F4">
            <w:pPr>
              <w:rPr>
                <w:rFonts w:eastAsia="Calibri" w:cs="Arial"/>
                <w:b/>
                <w:bCs/>
                <w:color w:val="FFFFFF" w:themeColor="background1"/>
                <w:sz w:val="20"/>
                <w:szCs w:val="20"/>
              </w:rPr>
            </w:pPr>
          </w:p>
        </w:tc>
        <w:tc>
          <w:tcPr>
            <w:tcW w:w="1829" w:type="dxa"/>
            <w:shd w:val="clear" w:color="auto" w:fill="0E8A38" w:themeFill="accent1"/>
          </w:tcPr>
          <w:p w14:paraId="34BD2A85" w14:textId="77777777" w:rsidR="0031384A" w:rsidRPr="0031384A" w:rsidRDefault="0031384A" w:rsidP="002A72F4">
            <w:pPr>
              <w:rPr>
                <w:rFonts w:eastAsia="Calibri" w:cs="Arial"/>
                <w:b/>
                <w:bCs/>
                <w:color w:val="FFFFFF" w:themeColor="background1"/>
                <w:sz w:val="20"/>
                <w:szCs w:val="20"/>
              </w:rPr>
            </w:pPr>
            <w:r w:rsidRPr="0031384A">
              <w:rPr>
                <w:rFonts w:eastAsia="Calibri" w:cs="Arial"/>
                <w:b/>
                <w:bCs/>
                <w:color w:val="FFFFFF" w:themeColor="background1"/>
                <w:sz w:val="20"/>
                <w:szCs w:val="20"/>
              </w:rPr>
              <w:t>Authorised action/</w:t>
            </w:r>
          </w:p>
          <w:p w14:paraId="5814F420" w14:textId="77777777" w:rsidR="0031384A" w:rsidRPr="0031384A" w:rsidRDefault="0031384A" w:rsidP="002A72F4">
            <w:pPr>
              <w:rPr>
                <w:rFonts w:eastAsia="Calibri" w:cs="Arial"/>
                <w:b/>
                <w:bCs/>
                <w:color w:val="FFFFFF" w:themeColor="background1"/>
                <w:sz w:val="20"/>
                <w:szCs w:val="20"/>
              </w:rPr>
            </w:pPr>
            <w:r w:rsidRPr="0031384A">
              <w:rPr>
                <w:rFonts w:eastAsia="Calibri" w:cs="Arial"/>
                <w:b/>
                <w:bCs/>
                <w:color w:val="FFFFFF" w:themeColor="background1"/>
                <w:sz w:val="20"/>
                <w:szCs w:val="20"/>
              </w:rPr>
              <w:t>date for completion</w:t>
            </w:r>
          </w:p>
        </w:tc>
        <w:tc>
          <w:tcPr>
            <w:tcW w:w="1147" w:type="dxa"/>
            <w:shd w:val="clear" w:color="auto" w:fill="0E8A38" w:themeFill="accent1"/>
          </w:tcPr>
          <w:p w14:paraId="36E6583A" w14:textId="77777777" w:rsidR="0031384A" w:rsidRPr="0031384A" w:rsidRDefault="0031384A" w:rsidP="002A72F4">
            <w:pPr>
              <w:rPr>
                <w:rFonts w:eastAsia="Calibri" w:cs="Arial"/>
                <w:b/>
                <w:bCs/>
                <w:color w:val="FFFFFF" w:themeColor="background1"/>
                <w:sz w:val="20"/>
                <w:szCs w:val="20"/>
              </w:rPr>
            </w:pPr>
            <w:r w:rsidRPr="0031384A">
              <w:rPr>
                <w:rFonts w:eastAsia="Calibri" w:cs="Arial"/>
                <w:b/>
                <w:bCs/>
                <w:color w:val="FFFFFF" w:themeColor="background1"/>
                <w:sz w:val="20"/>
                <w:szCs w:val="20"/>
              </w:rPr>
              <w:t>Review date</w:t>
            </w:r>
          </w:p>
        </w:tc>
      </w:tr>
      <w:tr w:rsidR="009B2E43" w:rsidRPr="006E0841" w14:paraId="671F3A1F" w14:textId="77777777" w:rsidTr="00F654F1">
        <w:tc>
          <w:tcPr>
            <w:tcW w:w="5098" w:type="dxa"/>
            <w:shd w:val="clear" w:color="auto" w:fill="F2F2F2" w:themeFill="background1" w:themeFillShade="F2"/>
          </w:tcPr>
          <w:p w14:paraId="5AE1A25B" w14:textId="13AA79BF" w:rsidR="009B2E43" w:rsidRPr="0031384A" w:rsidRDefault="009B2E43" w:rsidP="5247A891">
            <w:pPr>
              <w:keepNext/>
              <w:keepLines/>
              <w:spacing w:before="40"/>
              <w:outlineLvl w:val="2"/>
              <w:rPr>
                <w:rFonts w:ascii="Calibri" w:eastAsia="Calibri Light" w:hAnsi="Calibri" w:cs="Calibri"/>
                <w:b/>
                <w:bCs/>
                <w:color w:val="00B050"/>
                <w:sz w:val="22"/>
              </w:rPr>
            </w:pPr>
            <w:r w:rsidRPr="0031384A">
              <w:rPr>
                <w:b/>
                <w:bCs/>
                <w:color w:val="0E8A38" w:themeColor="accent1"/>
                <w:sz w:val="22"/>
              </w:rPr>
              <w:t>Appointment</w:t>
            </w:r>
            <w:r w:rsidRPr="0031384A">
              <w:rPr>
                <w:b/>
                <w:bCs/>
                <w:color w:val="00B050"/>
                <w:sz w:val="22"/>
              </w:rPr>
              <w:t xml:space="preserve"> </w:t>
            </w:r>
          </w:p>
          <w:p w14:paraId="1D1E61C4" w14:textId="77777777" w:rsidR="009B2E43" w:rsidRPr="0031384A" w:rsidRDefault="009B2E43" w:rsidP="005E0C36">
            <w:pPr>
              <w:rPr>
                <w:sz w:val="22"/>
              </w:rPr>
            </w:pPr>
          </w:p>
          <w:p w14:paraId="624A8F9B" w14:textId="6172C394" w:rsidR="009B2E43" w:rsidRPr="0031384A" w:rsidRDefault="009B2E43" w:rsidP="00205D9C">
            <w:pPr>
              <w:rPr>
                <w:sz w:val="22"/>
              </w:rPr>
            </w:pPr>
            <w:r w:rsidRPr="0031384A">
              <w:rPr>
                <w:sz w:val="22"/>
              </w:rPr>
              <w:t>Freedom to Speak Up Guardians should be appointed through a fair and open process.</w:t>
            </w:r>
          </w:p>
        </w:tc>
        <w:tc>
          <w:tcPr>
            <w:tcW w:w="3119" w:type="dxa"/>
          </w:tcPr>
          <w:p w14:paraId="61740B7E" w14:textId="77777777" w:rsidR="009B2E43" w:rsidRPr="0031384A" w:rsidRDefault="009B2E43" w:rsidP="5247A891">
            <w:pPr>
              <w:rPr>
                <w:rFonts w:ascii="Calibri" w:eastAsia="Calibri" w:hAnsi="Calibri" w:cs="Times New Roman"/>
                <w:sz w:val="22"/>
              </w:rPr>
            </w:pPr>
          </w:p>
        </w:tc>
        <w:tc>
          <w:tcPr>
            <w:tcW w:w="2977" w:type="dxa"/>
          </w:tcPr>
          <w:p w14:paraId="3BE9C6FA" w14:textId="77777777" w:rsidR="009B2E43" w:rsidRPr="0031384A" w:rsidRDefault="009B2E43" w:rsidP="5247A891">
            <w:pPr>
              <w:rPr>
                <w:rFonts w:ascii="Calibri" w:eastAsia="Calibri" w:hAnsi="Calibri" w:cs="Times New Roman"/>
                <w:sz w:val="22"/>
              </w:rPr>
            </w:pPr>
          </w:p>
        </w:tc>
        <w:tc>
          <w:tcPr>
            <w:tcW w:w="1829" w:type="dxa"/>
          </w:tcPr>
          <w:p w14:paraId="1283355F" w14:textId="77777777" w:rsidR="009B2E43" w:rsidRPr="0031384A" w:rsidRDefault="009B2E43" w:rsidP="5247A891">
            <w:pPr>
              <w:rPr>
                <w:rFonts w:ascii="Calibri" w:eastAsia="Calibri" w:hAnsi="Calibri" w:cs="Times New Roman"/>
                <w:sz w:val="22"/>
              </w:rPr>
            </w:pPr>
          </w:p>
        </w:tc>
        <w:tc>
          <w:tcPr>
            <w:tcW w:w="1147" w:type="dxa"/>
          </w:tcPr>
          <w:p w14:paraId="4EA33B1A" w14:textId="77777777" w:rsidR="009B2E43" w:rsidRPr="0031384A" w:rsidRDefault="009B2E43" w:rsidP="5247A891">
            <w:pPr>
              <w:rPr>
                <w:rFonts w:ascii="Calibri" w:eastAsia="Calibri" w:hAnsi="Calibri" w:cs="Times New Roman"/>
                <w:sz w:val="22"/>
              </w:rPr>
            </w:pPr>
          </w:p>
        </w:tc>
      </w:tr>
      <w:tr w:rsidR="009B2E43" w:rsidRPr="006E0841" w14:paraId="15306B99" w14:textId="77777777" w:rsidTr="00F654F1">
        <w:tc>
          <w:tcPr>
            <w:tcW w:w="5098" w:type="dxa"/>
            <w:shd w:val="clear" w:color="auto" w:fill="F2F2F2" w:themeFill="background1" w:themeFillShade="F2"/>
          </w:tcPr>
          <w:p w14:paraId="3405A3C2" w14:textId="7CC5E491" w:rsidR="009B2E43" w:rsidRPr="0031384A" w:rsidRDefault="009B2E43" w:rsidP="00CA774C">
            <w:pPr>
              <w:pStyle w:val="Heading2"/>
              <w:outlineLvl w:val="1"/>
            </w:pPr>
            <w:bookmarkStart w:id="32" w:name="_Toc90905966"/>
            <w:bookmarkStart w:id="33" w:name="_Toc90906111"/>
            <w:r w:rsidRPr="0031384A">
              <w:t>Confidence in the arrangements</w:t>
            </w:r>
            <w:bookmarkEnd w:id="32"/>
            <w:bookmarkEnd w:id="33"/>
            <w:r w:rsidRPr="0031384A">
              <w:t xml:space="preserve"> </w:t>
            </w:r>
          </w:p>
          <w:p w14:paraId="576823EA" w14:textId="77777777" w:rsidR="009B2E43" w:rsidRPr="0031384A" w:rsidRDefault="009B2E43" w:rsidP="005E0C36">
            <w:pPr>
              <w:rPr>
                <w:sz w:val="22"/>
              </w:rPr>
            </w:pPr>
          </w:p>
          <w:p w14:paraId="50A41973" w14:textId="77777777" w:rsidR="009B2E43" w:rsidRPr="0031384A" w:rsidRDefault="009B2E43" w:rsidP="005E0C36">
            <w:pPr>
              <w:rPr>
                <w:sz w:val="22"/>
              </w:rPr>
            </w:pPr>
            <w:r w:rsidRPr="0031384A">
              <w:rPr>
                <w:sz w:val="22"/>
              </w:rPr>
              <w:t>Assurance should be obtained that the workforce has confidence in the Freedom to Speak Up Guardian arrangements.</w:t>
            </w:r>
          </w:p>
          <w:p w14:paraId="23D2FC52" w14:textId="77777777" w:rsidR="009B2E43" w:rsidRPr="0031384A" w:rsidRDefault="009B2E43" w:rsidP="005E0C36">
            <w:pPr>
              <w:rPr>
                <w:sz w:val="22"/>
              </w:rPr>
            </w:pPr>
          </w:p>
          <w:p w14:paraId="4271340F" w14:textId="77777777" w:rsidR="009B2E43" w:rsidRPr="0031384A" w:rsidRDefault="009B2E43" w:rsidP="005E0C36">
            <w:pPr>
              <w:rPr>
                <w:sz w:val="22"/>
              </w:rPr>
            </w:pPr>
            <w:r w:rsidRPr="0031384A">
              <w:rPr>
                <w:sz w:val="22"/>
              </w:rPr>
              <w:t>Assurance should be provided that the multiple Freedom to Speak Up Guardians supporting the same organisation/s are able to meet the requirements of the universal job description.</w:t>
            </w:r>
          </w:p>
          <w:p w14:paraId="3BCD2523" w14:textId="77777777" w:rsidR="009B2E43" w:rsidRPr="0031384A" w:rsidRDefault="009B2E43" w:rsidP="005E0C36">
            <w:pPr>
              <w:rPr>
                <w:sz w:val="22"/>
              </w:rPr>
            </w:pPr>
          </w:p>
          <w:p w14:paraId="0F6B4C65" w14:textId="1CC7AC30" w:rsidR="009B2E43" w:rsidRPr="0031384A" w:rsidRDefault="009B2E43" w:rsidP="5247A891">
            <w:pPr>
              <w:rPr>
                <w:b/>
                <w:sz w:val="22"/>
              </w:rPr>
            </w:pPr>
            <w:r w:rsidRPr="0031384A">
              <w:rPr>
                <w:sz w:val="22"/>
              </w:rPr>
              <w:t>The term ‘Freedom to Speak Up Guardian’ should be used for all Freedom to Speak Up Guardians supporting the same organisation/s. Locally, the organisation may consider how it communicates the primary functions of the individuals in each of the roles though, always, the individuals should be able to fulfil the requirements of the universal job description.</w:t>
            </w:r>
          </w:p>
        </w:tc>
        <w:tc>
          <w:tcPr>
            <w:tcW w:w="3119" w:type="dxa"/>
          </w:tcPr>
          <w:p w14:paraId="225E7970" w14:textId="77777777" w:rsidR="009B2E43" w:rsidRPr="0031384A" w:rsidRDefault="009B2E43" w:rsidP="5247A891">
            <w:pPr>
              <w:rPr>
                <w:rFonts w:ascii="Calibri" w:eastAsia="Calibri" w:hAnsi="Calibri" w:cs="Times New Roman"/>
                <w:sz w:val="22"/>
              </w:rPr>
            </w:pPr>
          </w:p>
        </w:tc>
        <w:tc>
          <w:tcPr>
            <w:tcW w:w="2977" w:type="dxa"/>
          </w:tcPr>
          <w:p w14:paraId="1D6580C0" w14:textId="77777777" w:rsidR="009B2E43" w:rsidRPr="0031384A" w:rsidRDefault="009B2E43" w:rsidP="5247A891">
            <w:pPr>
              <w:rPr>
                <w:rFonts w:ascii="Calibri" w:eastAsia="Calibri" w:hAnsi="Calibri" w:cs="Times New Roman"/>
                <w:sz w:val="22"/>
              </w:rPr>
            </w:pPr>
          </w:p>
        </w:tc>
        <w:tc>
          <w:tcPr>
            <w:tcW w:w="1829" w:type="dxa"/>
          </w:tcPr>
          <w:p w14:paraId="5A090F07" w14:textId="77777777" w:rsidR="009B2E43" w:rsidRPr="0031384A" w:rsidRDefault="009B2E43" w:rsidP="5247A891">
            <w:pPr>
              <w:rPr>
                <w:rFonts w:ascii="Calibri" w:eastAsia="Calibri" w:hAnsi="Calibri" w:cs="Times New Roman"/>
                <w:sz w:val="22"/>
              </w:rPr>
            </w:pPr>
          </w:p>
        </w:tc>
        <w:tc>
          <w:tcPr>
            <w:tcW w:w="1147" w:type="dxa"/>
          </w:tcPr>
          <w:p w14:paraId="2892721C" w14:textId="77777777" w:rsidR="009B2E43" w:rsidRPr="0031384A" w:rsidRDefault="009B2E43" w:rsidP="5247A891">
            <w:pPr>
              <w:rPr>
                <w:rFonts w:ascii="Calibri" w:eastAsia="Calibri" w:hAnsi="Calibri" w:cs="Times New Roman"/>
                <w:sz w:val="22"/>
              </w:rPr>
            </w:pPr>
          </w:p>
        </w:tc>
      </w:tr>
      <w:tr w:rsidR="009B2E43" w:rsidRPr="006E0841" w14:paraId="52727946" w14:textId="77777777" w:rsidTr="00F654F1">
        <w:tc>
          <w:tcPr>
            <w:tcW w:w="5098" w:type="dxa"/>
            <w:shd w:val="clear" w:color="auto" w:fill="F2F2F2" w:themeFill="background1" w:themeFillShade="F2"/>
          </w:tcPr>
          <w:p w14:paraId="7D9C94BC" w14:textId="2EB3484D" w:rsidR="009B2E43" w:rsidRPr="0031384A" w:rsidRDefault="009B2E43" w:rsidP="00CA774C">
            <w:pPr>
              <w:pStyle w:val="Heading2"/>
              <w:outlineLvl w:val="1"/>
            </w:pPr>
            <w:bookmarkStart w:id="34" w:name="_Toc90905967"/>
            <w:bookmarkStart w:id="35" w:name="_Toc90906112"/>
            <w:r w:rsidRPr="0031384A">
              <w:lastRenderedPageBreak/>
              <w:t>Ring-fenced time</w:t>
            </w:r>
            <w:bookmarkEnd w:id="34"/>
            <w:bookmarkEnd w:id="35"/>
          </w:p>
          <w:p w14:paraId="7B02ED6D" w14:textId="77777777" w:rsidR="009B2E43" w:rsidRPr="0031384A" w:rsidRDefault="009B2E43" w:rsidP="005E0C36">
            <w:pPr>
              <w:rPr>
                <w:sz w:val="22"/>
              </w:rPr>
            </w:pPr>
          </w:p>
          <w:p w14:paraId="5CF0ABAC" w14:textId="7F6E4318" w:rsidR="009B2E43" w:rsidRPr="0031384A" w:rsidRDefault="009B2E43" w:rsidP="5247A891">
            <w:pPr>
              <w:rPr>
                <w:sz w:val="22"/>
              </w:rPr>
            </w:pPr>
            <w:r w:rsidRPr="0031384A">
              <w:rPr>
                <w:sz w:val="22"/>
              </w:rPr>
              <w:t xml:space="preserve">Freedom to Speak Up </w:t>
            </w:r>
            <w:r w:rsidR="00952857" w:rsidRPr="0031384A">
              <w:rPr>
                <w:sz w:val="22"/>
              </w:rPr>
              <w:t>Guardians</w:t>
            </w:r>
            <w:r w:rsidRPr="0031384A">
              <w:rPr>
                <w:sz w:val="22"/>
              </w:rPr>
              <w:t xml:space="preserve"> should be provided with ring-fenced time for the role, taking account of the time needed to carry out the role and meet the needs of workers in their organisation. Leaders should be able to demonstrate the rationale for their decisions about how much time is allocated to the role.</w:t>
            </w:r>
          </w:p>
        </w:tc>
        <w:tc>
          <w:tcPr>
            <w:tcW w:w="3119" w:type="dxa"/>
          </w:tcPr>
          <w:p w14:paraId="17F6C971" w14:textId="77777777" w:rsidR="009B2E43" w:rsidRPr="0031384A" w:rsidRDefault="009B2E43" w:rsidP="5247A891">
            <w:pPr>
              <w:rPr>
                <w:rFonts w:ascii="Calibri" w:eastAsia="Calibri" w:hAnsi="Calibri" w:cs="Times New Roman"/>
                <w:sz w:val="22"/>
              </w:rPr>
            </w:pPr>
          </w:p>
        </w:tc>
        <w:tc>
          <w:tcPr>
            <w:tcW w:w="2977" w:type="dxa"/>
          </w:tcPr>
          <w:p w14:paraId="719AB35D" w14:textId="77777777" w:rsidR="009B2E43" w:rsidRPr="0031384A" w:rsidRDefault="009B2E43" w:rsidP="5247A891">
            <w:pPr>
              <w:rPr>
                <w:rFonts w:ascii="Calibri" w:eastAsia="Calibri" w:hAnsi="Calibri" w:cs="Times New Roman"/>
                <w:sz w:val="22"/>
              </w:rPr>
            </w:pPr>
          </w:p>
        </w:tc>
        <w:tc>
          <w:tcPr>
            <w:tcW w:w="1829" w:type="dxa"/>
          </w:tcPr>
          <w:p w14:paraId="56DFE348" w14:textId="77777777" w:rsidR="009B2E43" w:rsidRPr="0031384A" w:rsidRDefault="009B2E43" w:rsidP="5247A891">
            <w:pPr>
              <w:rPr>
                <w:rFonts w:ascii="Calibri" w:eastAsia="Calibri" w:hAnsi="Calibri" w:cs="Times New Roman"/>
                <w:sz w:val="22"/>
              </w:rPr>
            </w:pPr>
          </w:p>
        </w:tc>
        <w:tc>
          <w:tcPr>
            <w:tcW w:w="1147" w:type="dxa"/>
          </w:tcPr>
          <w:p w14:paraId="661F1B98" w14:textId="77777777" w:rsidR="009B2E43" w:rsidRPr="0031384A" w:rsidRDefault="009B2E43" w:rsidP="5247A891">
            <w:pPr>
              <w:rPr>
                <w:rFonts w:ascii="Calibri" w:eastAsia="Calibri" w:hAnsi="Calibri" w:cs="Times New Roman"/>
                <w:sz w:val="22"/>
              </w:rPr>
            </w:pPr>
          </w:p>
        </w:tc>
      </w:tr>
      <w:tr w:rsidR="009B2E43" w:rsidRPr="006E0841" w14:paraId="2EEFEF0A" w14:textId="77777777" w:rsidTr="00F654F1">
        <w:tc>
          <w:tcPr>
            <w:tcW w:w="5098" w:type="dxa"/>
            <w:shd w:val="clear" w:color="auto" w:fill="F2F2F2" w:themeFill="background1" w:themeFillShade="F2"/>
          </w:tcPr>
          <w:p w14:paraId="0CA35138" w14:textId="1D885E4C" w:rsidR="009B2E43" w:rsidRPr="0031384A" w:rsidRDefault="009B2E43" w:rsidP="00CA774C">
            <w:pPr>
              <w:pStyle w:val="Heading2"/>
              <w:outlineLvl w:val="1"/>
            </w:pPr>
            <w:bookmarkStart w:id="36" w:name="_Toc90905968"/>
            <w:bookmarkStart w:id="37" w:name="_Toc90906113"/>
            <w:r w:rsidRPr="0031384A">
              <w:t>Support</w:t>
            </w:r>
            <w:bookmarkEnd w:id="36"/>
            <w:bookmarkEnd w:id="37"/>
            <w:r w:rsidRPr="0031384A">
              <w:t xml:space="preserve"> </w:t>
            </w:r>
          </w:p>
          <w:p w14:paraId="706F7C33" w14:textId="77777777" w:rsidR="009B2E43" w:rsidRPr="0031384A" w:rsidRDefault="009B2E43" w:rsidP="005E0C36">
            <w:pPr>
              <w:rPr>
                <w:sz w:val="22"/>
              </w:rPr>
            </w:pPr>
          </w:p>
          <w:p w14:paraId="0A01741B" w14:textId="77777777" w:rsidR="009B2E43" w:rsidRPr="0031384A" w:rsidRDefault="009B2E43" w:rsidP="005E0C36">
            <w:pPr>
              <w:rPr>
                <w:sz w:val="22"/>
              </w:rPr>
            </w:pPr>
            <w:r w:rsidRPr="0031384A">
              <w:rPr>
                <w:sz w:val="22"/>
              </w:rPr>
              <w:t xml:space="preserve">The support required for Freedom to Speak Up Guardians to carry out their role and meet the needs of the workers should be identified and provided, including: </w:t>
            </w:r>
          </w:p>
          <w:p w14:paraId="5C7EC7CB" w14:textId="77777777" w:rsidR="009B2E43" w:rsidRPr="0031384A" w:rsidRDefault="009B2E43" w:rsidP="00952857">
            <w:pPr>
              <w:pStyle w:val="ListParagraph"/>
              <w:numPr>
                <w:ilvl w:val="0"/>
                <w:numId w:val="28"/>
              </w:numPr>
              <w:rPr>
                <w:sz w:val="22"/>
              </w:rPr>
            </w:pPr>
            <w:r w:rsidRPr="0031384A">
              <w:rPr>
                <w:sz w:val="22"/>
              </w:rPr>
              <w:t xml:space="preserve">sufficient cover to support their work in their absence; </w:t>
            </w:r>
          </w:p>
          <w:p w14:paraId="0F81AC93" w14:textId="77777777" w:rsidR="009B2E43" w:rsidRPr="0031384A" w:rsidRDefault="009B2E43" w:rsidP="00952857">
            <w:pPr>
              <w:pStyle w:val="ListParagraph"/>
              <w:numPr>
                <w:ilvl w:val="0"/>
                <w:numId w:val="28"/>
              </w:numPr>
              <w:rPr>
                <w:sz w:val="22"/>
              </w:rPr>
            </w:pPr>
            <w:r w:rsidRPr="0031384A">
              <w:rPr>
                <w:sz w:val="22"/>
              </w:rPr>
              <w:t>alternative routes to handle speaking up matters to overcome any possible conflicts; and</w:t>
            </w:r>
          </w:p>
          <w:p w14:paraId="5E82CF6B" w14:textId="2BDB1A03" w:rsidR="009B2E43" w:rsidRPr="0031384A" w:rsidRDefault="009B2E43" w:rsidP="00952857">
            <w:pPr>
              <w:pStyle w:val="ListParagraph"/>
              <w:numPr>
                <w:ilvl w:val="0"/>
                <w:numId w:val="28"/>
              </w:numPr>
              <w:rPr>
                <w:sz w:val="22"/>
              </w:rPr>
            </w:pPr>
            <w:r w:rsidRPr="0031384A">
              <w:rPr>
                <w:sz w:val="22"/>
              </w:rPr>
              <w:t>appropriate managerial and emotional support.</w:t>
            </w:r>
          </w:p>
        </w:tc>
        <w:tc>
          <w:tcPr>
            <w:tcW w:w="3119" w:type="dxa"/>
          </w:tcPr>
          <w:p w14:paraId="5B5C3661" w14:textId="77777777" w:rsidR="009B2E43" w:rsidRPr="0031384A" w:rsidRDefault="009B2E43" w:rsidP="5247A891">
            <w:pPr>
              <w:rPr>
                <w:rFonts w:ascii="Calibri" w:eastAsia="Calibri" w:hAnsi="Calibri" w:cs="Times New Roman"/>
                <w:sz w:val="22"/>
              </w:rPr>
            </w:pPr>
          </w:p>
        </w:tc>
        <w:tc>
          <w:tcPr>
            <w:tcW w:w="2977" w:type="dxa"/>
          </w:tcPr>
          <w:p w14:paraId="7B9F0066" w14:textId="77777777" w:rsidR="009B2E43" w:rsidRPr="0031384A" w:rsidRDefault="009B2E43" w:rsidP="5247A891">
            <w:pPr>
              <w:rPr>
                <w:rFonts w:ascii="Calibri" w:eastAsia="Calibri" w:hAnsi="Calibri" w:cs="Times New Roman"/>
                <w:sz w:val="22"/>
              </w:rPr>
            </w:pPr>
          </w:p>
        </w:tc>
        <w:tc>
          <w:tcPr>
            <w:tcW w:w="1829" w:type="dxa"/>
          </w:tcPr>
          <w:p w14:paraId="1DDF4F1B" w14:textId="77777777" w:rsidR="009B2E43" w:rsidRPr="0031384A" w:rsidRDefault="009B2E43" w:rsidP="5247A891">
            <w:pPr>
              <w:rPr>
                <w:rFonts w:ascii="Calibri" w:eastAsia="Calibri" w:hAnsi="Calibri" w:cs="Times New Roman"/>
                <w:sz w:val="22"/>
              </w:rPr>
            </w:pPr>
          </w:p>
        </w:tc>
        <w:tc>
          <w:tcPr>
            <w:tcW w:w="1147" w:type="dxa"/>
          </w:tcPr>
          <w:p w14:paraId="1AEA70A3" w14:textId="77777777" w:rsidR="009B2E43" w:rsidRPr="0031384A" w:rsidRDefault="009B2E43" w:rsidP="5247A891">
            <w:pPr>
              <w:rPr>
                <w:rFonts w:ascii="Calibri" w:eastAsia="Calibri" w:hAnsi="Calibri" w:cs="Times New Roman"/>
                <w:sz w:val="22"/>
              </w:rPr>
            </w:pPr>
          </w:p>
        </w:tc>
      </w:tr>
      <w:tr w:rsidR="009B2E43" w:rsidRPr="006E0841" w14:paraId="20821FD9" w14:textId="77777777" w:rsidTr="00F654F1">
        <w:tc>
          <w:tcPr>
            <w:tcW w:w="5098" w:type="dxa"/>
            <w:shd w:val="clear" w:color="auto" w:fill="F2F2F2" w:themeFill="background1" w:themeFillShade="F2"/>
          </w:tcPr>
          <w:p w14:paraId="45B21398" w14:textId="77777777" w:rsidR="009B2E43" w:rsidRPr="0031384A" w:rsidRDefault="009B2E43" w:rsidP="00CA774C">
            <w:pPr>
              <w:pStyle w:val="Heading2"/>
              <w:outlineLvl w:val="1"/>
            </w:pPr>
            <w:bookmarkStart w:id="38" w:name="_Toc90905969"/>
            <w:bookmarkStart w:id="39" w:name="_Toc90906114"/>
            <w:bookmarkStart w:id="40" w:name="_Toc90031610"/>
            <w:r w:rsidRPr="0031384A">
              <w:t>Continuity</w:t>
            </w:r>
            <w:bookmarkEnd w:id="38"/>
            <w:bookmarkEnd w:id="39"/>
          </w:p>
          <w:p w14:paraId="5BA69A90" w14:textId="77777777" w:rsidR="009B2E43" w:rsidRPr="0031384A" w:rsidRDefault="009B2E43" w:rsidP="005E0C36">
            <w:pPr>
              <w:rPr>
                <w:sz w:val="22"/>
              </w:rPr>
            </w:pPr>
          </w:p>
          <w:p w14:paraId="72299EA4" w14:textId="7A380CD8" w:rsidR="009B2E43" w:rsidRPr="0031384A" w:rsidRDefault="009B2E43" w:rsidP="005E0C36">
            <w:pPr>
              <w:rPr>
                <w:sz w:val="22"/>
              </w:rPr>
            </w:pPr>
            <w:r w:rsidRPr="0031384A">
              <w:rPr>
                <w:sz w:val="22"/>
              </w:rPr>
              <w:t>A continuity plan should be agreed to support incoming Freedom to Speak Up Guardians and minimise any disruptions to the Freedom to Speak Up arrangements, ensuring this is in line with guidance from the National Guardian’s Office.</w:t>
            </w:r>
            <w:bookmarkEnd w:id="40"/>
          </w:p>
        </w:tc>
        <w:tc>
          <w:tcPr>
            <w:tcW w:w="3119" w:type="dxa"/>
          </w:tcPr>
          <w:p w14:paraId="41B7FDFA" w14:textId="77777777" w:rsidR="009B2E43" w:rsidRPr="0031384A" w:rsidRDefault="009B2E43" w:rsidP="5247A891">
            <w:pPr>
              <w:rPr>
                <w:rFonts w:ascii="Calibri" w:eastAsia="Calibri" w:hAnsi="Calibri" w:cs="Times New Roman"/>
                <w:sz w:val="22"/>
              </w:rPr>
            </w:pPr>
          </w:p>
        </w:tc>
        <w:tc>
          <w:tcPr>
            <w:tcW w:w="2977" w:type="dxa"/>
          </w:tcPr>
          <w:p w14:paraId="4A973829" w14:textId="77777777" w:rsidR="009B2E43" w:rsidRPr="0031384A" w:rsidRDefault="009B2E43" w:rsidP="5247A891">
            <w:pPr>
              <w:rPr>
                <w:rFonts w:ascii="Calibri" w:eastAsia="Calibri" w:hAnsi="Calibri" w:cs="Times New Roman"/>
                <w:sz w:val="22"/>
              </w:rPr>
            </w:pPr>
          </w:p>
        </w:tc>
        <w:tc>
          <w:tcPr>
            <w:tcW w:w="1829" w:type="dxa"/>
          </w:tcPr>
          <w:p w14:paraId="26525CA8" w14:textId="77777777" w:rsidR="009B2E43" w:rsidRPr="0031384A" w:rsidRDefault="009B2E43" w:rsidP="5247A891">
            <w:pPr>
              <w:rPr>
                <w:rFonts w:ascii="Calibri" w:eastAsia="Calibri" w:hAnsi="Calibri" w:cs="Times New Roman"/>
                <w:sz w:val="22"/>
              </w:rPr>
            </w:pPr>
          </w:p>
        </w:tc>
        <w:tc>
          <w:tcPr>
            <w:tcW w:w="1147" w:type="dxa"/>
          </w:tcPr>
          <w:p w14:paraId="40B951C1" w14:textId="77777777" w:rsidR="009B2E43" w:rsidRPr="0031384A" w:rsidRDefault="009B2E43" w:rsidP="5247A891">
            <w:pPr>
              <w:rPr>
                <w:rFonts w:ascii="Calibri" w:eastAsia="Calibri" w:hAnsi="Calibri" w:cs="Times New Roman"/>
                <w:sz w:val="22"/>
              </w:rPr>
            </w:pPr>
          </w:p>
        </w:tc>
      </w:tr>
      <w:tr w:rsidR="009B2E43" w:rsidRPr="006E0841" w14:paraId="172F6388" w14:textId="77777777" w:rsidTr="00F654F1">
        <w:tc>
          <w:tcPr>
            <w:tcW w:w="5098" w:type="dxa"/>
            <w:shd w:val="clear" w:color="auto" w:fill="F2F2F2" w:themeFill="background1" w:themeFillShade="F2"/>
          </w:tcPr>
          <w:p w14:paraId="3B0C8D4B" w14:textId="302A141B" w:rsidR="009B2E43" w:rsidRPr="0031384A" w:rsidRDefault="009B2E43" w:rsidP="00CA774C">
            <w:pPr>
              <w:pStyle w:val="Heading2"/>
              <w:outlineLvl w:val="1"/>
            </w:pPr>
            <w:bookmarkStart w:id="41" w:name="_Toc90905970"/>
            <w:bookmarkStart w:id="42" w:name="_Toc90906115"/>
            <w:r w:rsidRPr="0031384A">
              <w:lastRenderedPageBreak/>
              <w:t>Recording cases and reporting data</w:t>
            </w:r>
            <w:bookmarkEnd w:id="41"/>
            <w:bookmarkEnd w:id="42"/>
          </w:p>
          <w:p w14:paraId="6B953855" w14:textId="77777777" w:rsidR="009B2E43" w:rsidRPr="0031384A" w:rsidRDefault="009B2E43" w:rsidP="005E0C36">
            <w:pPr>
              <w:rPr>
                <w:sz w:val="22"/>
              </w:rPr>
            </w:pPr>
          </w:p>
          <w:p w14:paraId="73F1B7D2" w14:textId="77777777" w:rsidR="009B2E43" w:rsidRPr="0031384A" w:rsidRDefault="009B2E43" w:rsidP="005E0C36">
            <w:pPr>
              <w:rPr>
                <w:sz w:val="22"/>
              </w:rPr>
            </w:pPr>
            <w:r w:rsidRPr="0031384A">
              <w:rPr>
                <w:sz w:val="22"/>
              </w:rPr>
              <w:t>In accordance with guidance from the National Guardian’s Office:</w:t>
            </w:r>
          </w:p>
          <w:p w14:paraId="09C74FD3" w14:textId="77777777" w:rsidR="009B2E43" w:rsidRPr="0031384A" w:rsidRDefault="009B2E43" w:rsidP="00952857">
            <w:pPr>
              <w:pStyle w:val="ListParagraph"/>
              <w:numPr>
                <w:ilvl w:val="0"/>
                <w:numId w:val="29"/>
              </w:numPr>
              <w:rPr>
                <w:sz w:val="22"/>
              </w:rPr>
            </w:pPr>
            <w:r w:rsidRPr="0031384A">
              <w:rPr>
                <w:sz w:val="22"/>
              </w:rPr>
              <w:t>all instances of speaking up brought to the Freedom to Speak Up Guardian should be recorded, not just those cases where workers state that they are raising a matter ‘formally’</w:t>
            </w:r>
          </w:p>
          <w:p w14:paraId="5F4F4494" w14:textId="70FF3698" w:rsidR="009B2E43" w:rsidRPr="0031384A" w:rsidRDefault="009B2E43" w:rsidP="00952857">
            <w:pPr>
              <w:pStyle w:val="ListParagraph"/>
              <w:numPr>
                <w:ilvl w:val="0"/>
                <w:numId w:val="29"/>
              </w:numPr>
              <w:rPr>
                <w:b/>
                <w:sz w:val="22"/>
              </w:rPr>
            </w:pPr>
            <w:r w:rsidRPr="0031384A">
              <w:rPr>
                <w:sz w:val="22"/>
              </w:rPr>
              <w:t>non-identifiable information about all these cases should be reported to the National Guardian’s Office</w:t>
            </w:r>
          </w:p>
        </w:tc>
        <w:tc>
          <w:tcPr>
            <w:tcW w:w="3119" w:type="dxa"/>
          </w:tcPr>
          <w:p w14:paraId="7F06B83B" w14:textId="77777777" w:rsidR="009B2E43" w:rsidRPr="0031384A" w:rsidRDefault="009B2E43" w:rsidP="5247A891">
            <w:pPr>
              <w:rPr>
                <w:rFonts w:ascii="Calibri" w:eastAsia="Calibri" w:hAnsi="Calibri" w:cs="Times New Roman"/>
                <w:sz w:val="22"/>
              </w:rPr>
            </w:pPr>
          </w:p>
        </w:tc>
        <w:tc>
          <w:tcPr>
            <w:tcW w:w="2977" w:type="dxa"/>
          </w:tcPr>
          <w:p w14:paraId="3FD6A0CD" w14:textId="77777777" w:rsidR="009B2E43" w:rsidRPr="0031384A" w:rsidRDefault="009B2E43" w:rsidP="5247A891">
            <w:pPr>
              <w:rPr>
                <w:rFonts w:ascii="Calibri" w:eastAsia="Calibri" w:hAnsi="Calibri" w:cs="Times New Roman"/>
                <w:sz w:val="22"/>
              </w:rPr>
            </w:pPr>
          </w:p>
        </w:tc>
        <w:tc>
          <w:tcPr>
            <w:tcW w:w="1829" w:type="dxa"/>
          </w:tcPr>
          <w:p w14:paraId="27E3AB92" w14:textId="77777777" w:rsidR="009B2E43" w:rsidRPr="0031384A" w:rsidRDefault="009B2E43" w:rsidP="5247A891">
            <w:pPr>
              <w:rPr>
                <w:rFonts w:ascii="Calibri" w:eastAsia="Calibri" w:hAnsi="Calibri" w:cs="Times New Roman"/>
                <w:sz w:val="22"/>
              </w:rPr>
            </w:pPr>
          </w:p>
        </w:tc>
        <w:tc>
          <w:tcPr>
            <w:tcW w:w="1147" w:type="dxa"/>
          </w:tcPr>
          <w:p w14:paraId="6439C45F" w14:textId="77777777" w:rsidR="009B2E43" w:rsidRPr="0031384A" w:rsidRDefault="009B2E43" w:rsidP="5247A891">
            <w:pPr>
              <w:rPr>
                <w:rFonts w:ascii="Calibri" w:eastAsia="Calibri" w:hAnsi="Calibri" w:cs="Times New Roman"/>
                <w:sz w:val="22"/>
              </w:rPr>
            </w:pPr>
          </w:p>
        </w:tc>
      </w:tr>
      <w:tr w:rsidR="009B2E43" w:rsidRPr="006E0841" w14:paraId="34BD5A05" w14:textId="77777777" w:rsidTr="00F654F1">
        <w:tc>
          <w:tcPr>
            <w:tcW w:w="5098" w:type="dxa"/>
            <w:shd w:val="clear" w:color="auto" w:fill="F2F2F2" w:themeFill="background1" w:themeFillShade="F2"/>
          </w:tcPr>
          <w:p w14:paraId="100A04EB" w14:textId="77777777" w:rsidR="009B2E43" w:rsidRPr="0031384A" w:rsidRDefault="009B2E43" w:rsidP="00CA774C">
            <w:pPr>
              <w:pStyle w:val="Heading2"/>
              <w:outlineLvl w:val="1"/>
            </w:pPr>
            <w:bookmarkStart w:id="43" w:name="_Toc90905971"/>
            <w:bookmarkStart w:id="44" w:name="_Toc90906116"/>
            <w:bookmarkStart w:id="45" w:name="_Toc90031612"/>
            <w:r w:rsidRPr="0031384A">
              <w:t>Freedom to Speak Up Champions/Ambassadors</w:t>
            </w:r>
            <w:bookmarkEnd w:id="43"/>
            <w:bookmarkEnd w:id="44"/>
          </w:p>
          <w:p w14:paraId="6B6B5ACC" w14:textId="77777777" w:rsidR="009B2E43" w:rsidRPr="0031384A" w:rsidRDefault="009B2E43" w:rsidP="005E0C36">
            <w:pPr>
              <w:spacing w:line="257" w:lineRule="auto"/>
              <w:rPr>
                <w:sz w:val="22"/>
              </w:rPr>
            </w:pPr>
          </w:p>
          <w:p w14:paraId="3F91985E" w14:textId="77777777" w:rsidR="00952857" w:rsidRPr="0031384A" w:rsidRDefault="00952857" w:rsidP="00952857">
            <w:pPr>
              <w:spacing w:line="257" w:lineRule="auto"/>
              <w:rPr>
                <w:sz w:val="22"/>
              </w:rPr>
            </w:pPr>
            <w:r w:rsidRPr="0031384A">
              <w:rPr>
                <w:sz w:val="22"/>
              </w:rPr>
              <w:t xml:space="preserve">The use of the Freedom to Speak Up Champion/Ambassador role should be reviewed, ensuring it is in line with </w:t>
            </w:r>
            <w:hyperlink r:id="rId12" w:history="1">
              <w:r w:rsidRPr="0031384A">
                <w:rPr>
                  <w:rStyle w:val="Hyperlink"/>
                  <w:sz w:val="22"/>
                </w:rPr>
                <w:t>guidance</w:t>
              </w:r>
            </w:hyperlink>
            <w:r w:rsidRPr="0031384A">
              <w:rPr>
                <w:sz w:val="22"/>
              </w:rPr>
              <w:t xml:space="preserve"> from the National Guardian’s Office.</w:t>
            </w:r>
          </w:p>
          <w:p w14:paraId="09FFA453" w14:textId="77777777" w:rsidR="00952857" w:rsidRPr="0031384A" w:rsidRDefault="00952857" w:rsidP="00952857">
            <w:pPr>
              <w:spacing w:line="257" w:lineRule="auto"/>
              <w:rPr>
                <w:rFonts w:eastAsia="Calibri" w:cs="Arial"/>
                <w:sz w:val="22"/>
              </w:rPr>
            </w:pPr>
          </w:p>
          <w:p w14:paraId="7821B2E3" w14:textId="1E1840A3" w:rsidR="009B2E43" w:rsidRPr="0031384A" w:rsidRDefault="009B2E43" w:rsidP="00952857">
            <w:pPr>
              <w:spacing w:line="257" w:lineRule="auto"/>
              <w:rPr>
                <w:rFonts w:eastAsia="Calibri" w:cs="Arial"/>
                <w:b/>
                <w:sz w:val="22"/>
              </w:rPr>
            </w:pPr>
            <w:r w:rsidRPr="0031384A">
              <w:rPr>
                <w:sz w:val="22"/>
              </w:rPr>
              <w:t>Freedom to Speak Up Champion/Ambassador networks should reflect the diversity of the workforce they support.</w:t>
            </w:r>
            <w:bookmarkEnd w:id="45"/>
          </w:p>
        </w:tc>
        <w:tc>
          <w:tcPr>
            <w:tcW w:w="3119" w:type="dxa"/>
          </w:tcPr>
          <w:p w14:paraId="3FD89EEF" w14:textId="77777777" w:rsidR="009B2E43" w:rsidRPr="0031384A" w:rsidRDefault="009B2E43" w:rsidP="5247A891">
            <w:pPr>
              <w:rPr>
                <w:rFonts w:ascii="Calibri" w:eastAsia="Calibri" w:hAnsi="Calibri" w:cs="Times New Roman"/>
                <w:sz w:val="22"/>
              </w:rPr>
            </w:pPr>
          </w:p>
        </w:tc>
        <w:tc>
          <w:tcPr>
            <w:tcW w:w="2977" w:type="dxa"/>
          </w:tcPr>
          <w:p w14:paraId="74560306" w14:textId="77777777" w:rsidR="009B2E43" w:rsidRPr="0031384A" w:rsidRDefault="009B2E43" w:rsidP="5247A891">
            <w:pPr>
              <w:rPr>
                <w:rFonts w:ascii="Calibri" w:eastAsia="Calibri" w:hAnsi="Calibri" w:cs="Times New Roman"/>
                <w:sz w:val="22"/>
              </w:rPr>
            </w:pPr>
          </w:p>
        </w:tc>
        <w:tc>
          <w:tcPr>
            <w:tcW w:w="1829" w:type="dxa"/>
          </w:tcPr>
          <w:p w14:paraId="22BEF2F8" w14:textId="77777777" w:rsidR="009B2E43" w:rsidRPr="0031384A" w:rsidRDefault="009B2E43" w:rsidP="5247A891">
            <w:pPr>
              <w:rPr>
                <w:rFonts w:ascii="Calibri" w:eastAsia="Calibri" w:hAnsi="Calibri" w:cs="Times New Roman"/>
                <w:sz w:val="22"/>
              </w:rPr>
            </w:pPr>
          </w:p>
        </w:tc>
        <w:tc>
          <w:tcPr>
            <w:tcW w:w="1147" w:type="dxa"/>
          </w:tcPr>
          <w:p w14:paraId="127BDC41" w14:textId="77777777" w:rsidR="009B2E43" w:rsidRPr="0031384A" w:rsidRDefault="009B2E43" w:rsidP="5247A891">
            <w:pPr>
              <w:rPr>
                <w:rFonts w:ascii="Calibri" w:eastAsia="Calibri" w:hAnsi="Calibri" w:cs="Times New Roman"/>
                <w:sz w:val="22"/>
              </w:rPr>
            </w:pPr>
          </w:p>
        </w:tc>
      </w:tr>
      <w:tr w:rsidR="009B2E43" w:rsidRPr="006E0841" w14:paraId="0FE3B16B" w14:textId="77777777" w:rsidTr="00F654F1">
        <w:tc>
          <w:tcPr>
            <w:tcW w:w="5098" w:type="dxa"/>
            <w:shd w:val="clear" w:color="auto" w:fill="F2F2F2" w:themeFill="background1" w:themeFillShade="F2"/>
          </w:tcPr>
          <w:p w14:paraId="5F333254" w14:textId="53A6947A" w:rsidR="009B2E43" w:rsidRPr="0031384A" w:rsidRDefault="009B2E43" w:rsidP="00CA774C">
            <w:pPr>
              <w:pStyle w:val="Heading2"/>
              <w:outlineLvl w:val="1"/>
            </w:pPr>
            <w:bookmarkStart w:id="46" w:name="_Toc90905972"/>
            <w:bookmarkStart w:id="47" w:name="_Toc90906117"/>
            <w:r w:rsidRPr="0031384A">
              <w:t>Network meetings</w:t>
            </w:r>
            <w:bookmarkEnd w:id="46"/>
            <w:bookmarkEnd w:id="47"/>
          </w:p>
          <w:p w14:paraId="4A1EA96A" w14:textId="77777777" w:rsidR="009B2E43" w:rsidRPr="0031384A" w:rsidRDefault="009B2E43" w:rsidP="005E0C36">
            <w:pPr>
              <w:rPr>
                <w:sz w:val="22"/>
              </w:rPr>
            </w:pPr>
          </w:p>
          <w:p w14:paraId="25FF1159" w14:textId="74E746BC" w:rsidR="009B2E43" w:rsidRPr="0031384A" w:rsidRDefault="009B2E43" w:rsidP="5247A891">
            <w:pPr>
              <w:rPr>
                <w:sz w:val="22"/>
              </w:rPr>
            </w:pPr>
            <w:r w:rsidRPr="0031384A">
              <w:rPr>
                <w:sz w:val="22"/>
              </w:rPr>
              <w:t>Freedom to Speak Up Guardians should regularly attend regional meetings of their peers to ensure that they have access to guidance and support to undertake their work, including to assist with the writing of board reports, and in order to share learning and good practice.</w:t>
            </w:r>
          </w:p>
        </w:tc>
        <w:tc>
          <w:tcPr>
            <w:tcW w:w="3119" w:type="dxa"/>
          </w:tcPr>
          <w:p w14:paraId="45495022" w14:textId="77777777" w:rsidR="009B2E43" w:rsidRPr="0031384A" w:rsidRDefault="009B2E43" w:rsidP="5247A891">
            <w:pPr>
              <w:rPr>
                <w:rFonts w:ascii="Calibri" w:eastAsia="Calibri" w:hAnsi="Calibri" w:cs="Times New Roman"/>
                <w:sz w:val="22"/>
              </w:rPr>
            </w:pPr>
          </w:p>
        </w:tc>
        <w:tc>
          <w:tcPr>
            <w:tcW w:w="2977" w:type="dxa"/>
          </w:tcPr>
          <w:p w14:paraId="28940929" w14:textId="77777777" w:rsidR="009B2E43" w:rsidRPr="0031384A" w:rsidRDefault="009B2E43" w:rsidP="5247A891">
            <w:pPr>
              <w:rPr>
                <w:rFonts w:ascii="Calibri" w:eastAsia="Calibri" w:hAnsi="Calibri" w:cs="Times New Roman"/>
                <w:sz w:val="22"/>
              </w:rPr>
            </w:pPr>
          </w:p>
        </w:tc>
        <w:tc>
          <w:tcPr>
            <w:tcW w:w="1829" w:type="dxa"/>
          </w:tcPr>
          <w:p w14:paraId="52303772" w14:textId="77777777" w:rsidR="009B2E43" w:rsidRPr="0031384A" w:rsidRDefault="009B2E43" w:rsidP="5247A891">
            <w:pPr>
              <w:rPr>
                <w:rFonts w:ascii="Calibri" w:eastAsia="Calibri" w:hAnsi="Calibri" w:cs="Times New Roman"/>
                <w:sz w:val="22"/>
              </w:rPr>
            </w:pPr>
          </w:p>
        </w:tc>
        <w:tc>
          <w:tcPr>
            <w:tcW w:w="1147" w:type="dxa"/>
          </w:tcPr>
          <w:p w14:paraId="1ECBEA2E" w14:textId="77777777" w:rsidR="009B2E43" w:rsidRPr="0031384A" w:rsidRDefault="009B2E43" w:rsidP="5247A891">
            <w:pPr>
              <w:rPr>
                <w:rFonts w:ascii="Calibri" w:eastAsia="Calibri" w:hAnsi="Calibri" w:cs="Times New Roman"/>
                <w:sz w:val="22"/>
              </w:rPr>
            </w:pPr>
          </w:p>
        </w:tc>
      </w:tr>
      <w:tr w:rsidR="009B2E43" w:rsidRPr="006E0841" w14:paraId="3FDCA4B7" w14:textId="77777777" w:rsidTr="00F654F1">
        <w:tc>
          <w:tcPr>
            <w:tcW w:w="5098" w:type="dxa"/>
            <w:shd w:val="clear" w:color="auto" w:fill="F2F2F2" w:themeFill="background1" w:themeFillShade="F2"/>
          </w:tcPr>
          <w:p w14:paraId="2D1A0D05" w14:textId="77777777" w:rsidR="009B2E43" w:rsidRPr="0031384A" w:rsidRDefault="009B2E43" w:rsidP="00CA774C">
            <w:pPr>
              <w:pStyle w:val="Heading2"/>
              <w:outlineLvl w:val="1"/>
            </w:pPr>
            <w:bookmarkStart w:id="48" w:name="_Toc90905973"/>
            <w:bookmarkStart w:id="49" w:name="_Toc90906118"/>
            <w:bookmarkStart w:id="50" w:name="_Toc90031614"/>
            <w:r w:rsidRPr="0031384A">
              <w:lastRenderedPageBreak/>
              <w:t>Board reports</w:t>
            </w:r>
            <w:bookmarkEnd w:id="48"/>
            <w:bookmarkEnd w:id="49"/>
          </w:p>
          <w:p w14:paraId="5B7246AA" w14:textId="77777777" w:rsidR="009B2E43" w:rsidRPr="0031384A" w:rsidRDefault="009B2E43" w:rsidP="005E0C36">
            <w:pPr>
              <w:rPr>
                <w:sz w:val="22"/>
              </w:rPr>
            </w:pPr>
          </w:p>
          <w:p w14:paraId="3836E34E" w14:textId="77777777" w:rsidR="009B2E43" w:rsidRPr="0031384A" w:rsidRDefault="009B2E43" w:rsidP="005E0C36">
            <w:pPr>
              <w:rPr>
                <w:sz w:val="22"/>
              </w:rPr>
            </w:pPr>
            <w:r w:rsidRPr="0031384A">
              <w:rPr>
                <w:sz w:val="22"/>
              </w:rPr>
              <w:t xml:space="preserve">Freedom to Speak Up Guardian reports to the board (or equivalent) should be: </w:t>
            </w:r>
          </w:p>
          <w:p w14:paraId="2CBAF2B7" w14:textId="77777777" w:rsidR="009B2E43" w:rsidRPr="0031384A" w:rsidRDefault="009B2E43" w:rsidP="004E433A">
            <w:pPr>
              <w:pStyle w:val="ListParagraph"/>
              <w:numPr>
                <w:ilvl w:val="0"/>
                <w:numId w:val="30"/>
              </w:numPr>
              <w:rPr>
                <w:sz w:val="22"/>
              </w:rPr>
            </w:pPr>
            <w:r w:rsidRPr="0031384A">
              <w:rPr>
                <w:sz w:val="22"/>
              </w:rPr>
              <w:t xml:space="preserve">sufficiently detailed and comprehensive to support the development of a positive speaking up culture </w:t>
            </w:r>
          </w:p>
          <w:p w14:paraId="0C64C6D1" w14:textId="0B8A09B4" w:rsidR="009B2E43" w:rsidRPr="0031384A" w:rsidRDefault="009B2E43" w:rsidP="004E433A">
            <w:pPr>
              <w:pStyle w:val="ListParagraph"/>
              <w:numPr>
                <w:ilvl w:val="0"/>
                <w:numId w:val="30"/>
              </w:numPr>
              <w:rPr>
                <w:b/>
                <w:i/>
                <w:sz w:val="22"/>
              </w:rPr>
            </w:pPr>
            <w:r w:rsidRPr="0031384A">
              <w:rPr>
                <w:sz w:val="22"/>
              </w:rPr>
              <w:t>in accordance with guidance from NHS E/I and the NGO.</w:t>
            </w:r>
            <w:r w:rsidRPr="0031384A">
              <w:rPr>
                <w:b/>
                <w:bCs/>
                <w:i/>
                <w:iCs/>
                <w:sz w:val="22"/>
              </w:rPr>
              <w:t xml:space="preserve"> </w:t>
            </w:r>
            <w:bookmarkEnd w:id="50"/>
          </w:p>
        </w:tc>
        <w:tc>
          <w:tcPr>
            <w:tcW w:w="3119" w:type="dxa"/>
          </w:tcPr>
          <w:p w14:paraId="112C0982" w14:textId="77777777" w:rsidR="009B2E43" w:rsidRPr="0031384A" w:rsidRDefault="009B2E43" w:rsidP="5247A891">
            <w:pPr>
              <w:rPr>
                <w:rFonts w:ascii="Calibri" w:eastAsia="Calibri" w:hAnsi="Calibri" w:cs="Times New Roman"/>
                <w:sz w:val="22"/>
              </w:rPr>
            </w:pPr>
          </w:p>
        </w:tc>
        <w:tc>
          <w:tcPr>
            <w:tcW w:w="2977" w:type="dxa"/>
          </w:tcPr>
          <w:p w14:paraId="617581F0" w14:textId="77777777" w:rsidR="009B2E43" w:rsidRPr="0031384A" w:rsidRDefault="009B2E43" w:rsidP="5247A891">
            <w:pPr>
              <w:rPr>
                <w:rFonts w:ascii="Calibri" w:eastAsia="Calibri" w:hAnsi="Calibri" w:cs="Times New Roman"/>
                <w:sz w:val="22"/>
              </w:rPr>
            </w:pPr>
          </w:p>
        </w:tc>
        <w:tc>
          <w:tcPr>
            <w:tcW w:w="1829" w:type="dxa"/>
          </w:tcPr>
          <w:p w14:paraId="7406B97D" w14:textId="77777777" w:rsidR="009B2E43" w:rsidRPr="0031384A" w:rsidRDefault="009B2E43" w:rsidP="5247A891">
            <w:pPr>
              <w:rPr>
                <w:rFonts w:ascii="Calibri" w:eastAsia="Calibri" w:hAnsi="Calibri" w:cs="Times New Roman"/>
                <w:sz w:val="22"/>
              </w:rPr>
            </w:pPr>
          </w:p>
        </w:tc>
        <w:tc>
          <w:tcPr>
            <w:tcW w:w="1147" w:type="dxa"/>
          </w:tcPr>
          <w:p w14:paraId="4106E06E" w14:textId="77777777" w:rsidR="009B2E43" w:rsidRPr="0031384A" w:rsidRDefault="009B2E43" w:rsidP="5247A891">
            <w:pPr>
              <w:rPr>
                <w:rFonts w:ascii="Calibri" w:eastAsia="Calibri" w:hAnsi="Calibri" w:cs="Times New Roman"/>
                <w:sz w:val="22"/>
              </w:rPr>
            </w:pPr>
          </w:p>
        </w:tc>
      </w:tr>
    </w:tbl>
    <w:p w14:paraId="04EF196E" w14:textId="77777777" w:rsidR="00974CC7" w:rsidRDefault="00974CC7">
      <w:r>
        <w:br w:type="page"/>
      </w:r>
    </w:p>
    <w:tbl>
      <w:tblPr>
        <w:tblStyle w:val="TableGrid1"/>
        <w:tblW w:w="14170" w:type="dxa"/>
        <w:tblLayout w:type="fixed"/>
        <w:tblLook w:val="04A0" w:firstRow="1" w:lastRow="0" w:firstColumn="1" w:lastColumn="0" w:noHBand="0" w:noVBand="1"/>
      </w:tblPr>
      <w:tblGrid>
        <w:gridCol w:w="5098"/>
        <w:gridCol w:w="3119"/>
        <w:gridCol w:w="2977"/>
        <w:gridCol w:w="1829"/>
        <w:gridCol w:w="1147"/>
      </w:tblGrid>
      <w:tr w:rsidR="00E51982" w:rsidRPr="006E0841" w14:paraId="4259026A" w14:textId="77777777" w:rsidTr="00E85F41">
        <w:tc>
          <w:tcPr>
            <w:tcW w:w="14170" w:type="dxa"/>
            <w:gridSpan w:val="5"/>
            <w:shd w:val="clear" w:color="auto" w:fill="E8E3EF" w:themeFill="accent4" w:themeFillTint="66"/>
          </w:tcPr>
          <w:bookmarkStart w:id="51" w:name="_Toc90031615"/>
          <w:bookmarkStart w:id="52" w:name="_Toc90905974"/>
          <w:bookmarkStart w:id="53" w:name="_Toc90906119"/>
          <w:bookmarkStart w:id="54" w:name="_LEADERSHIP"/>
          <w:bookmarkEnd w:id="54"/>
          <w:p w14:paraId="0B1F1443" w14:textId="1167F061" w:rsidR="00E51982" w:rsidRPr="004E433A" w:rsidRDefault="002F34E6" w:rsidP="00CA774C">
            <w:pPr>
              <w:pStyle w:val="Heading1"/>
              <w:outlineLvl w:val="0"/>
              <w:rPr>
                <w:rFonts w:eastAsia="Calibri"/>
              </w:rPr>
            </w:pPr>
            <w:r>
              <w:lastRenderedPageBreak/>
              <w:fldChar w:fldCharType="begin"/>
            </w:r>
            <w:r>
              <w:instrText xml:space="preserve"> HYPERLINK  \l "_LEADERSHIP" </w:instrText>
            </w:r>
            <w:r>
              <w:fldChar w:fldCharType="separate"/>
            </w:r>
            <w:r w:rsidR="00E51982" w:rsidRPr="002F34E6">
              <w:rPr>
                <w:rStyle w:val="Hyperlink"/>
              </w:rPr>
              <w:t>L</w:t>
            </w:r>
            <w:bookmarkEnd w:id="51"/>
            <w:r w:rsidR="00E51982" w:rsidRPr="002F34E6">
              <w:rPr>
                <w:rStyle w:val="Hyperlink"/>
              </w:rPr>
              <w:t>EADERSHIP</w:t>
            </w:r>
            <w:bookmarkEnd w:id="52"/>
            <w:bookmarkEnd w:id="53"/>
            <w:r>
              <w:fldChar w:fldCharType="end"/>
            </w:r>
          </w:p>
        </w:tc>
      </w:tr>
      <w:tr w:rsidR="0031384A" w:rsidRPr="0031384A" w14:paraId="7D7CD7FE" w14:textId="77777777" w:rsidTr="00E85F41">
        <w:tc>
          <w:tcPr>
            <w:tcW w:w="5098" w:type="dxa"/>
            <w:shd w:val="clear" w:color="auto" w:fill="0E8A38" w:themeFill="accent1"/>
          </w:tcPr>
          <w:p w14:paraId="425E54A6" w14:textId="77777777" w:rsidR="0031384A" w:rsidRPr="0031384A" w:rsidRDefault="0031384A" w:rsidP="00CA774C">
            <w:pPr>
              <w:pStyle w:val="Heading2"/>
              <w:outlineLvl w:val="1"/>
            </w:pPr>
            <w:bookmarkStart w:id="55" w:name="_Toc90905975"/>
            <w:bookmarkStart w:id="56" w:name="_Toc90906120"/>
            <w:r w:rsidRPr="0031384A">
              <w:rPr>
                <w:rFonts w:eastAsia="Calibri"/>
              </w:rPr>
              <w:t>Recommendations from NGO case reviews</w:t>
            </w:r>
            <w:bookmarkEnd w:id="55"/>
            <w:bookmarkEnd w:id="56"/>
          </w:p>
        </w:tc>
        <w:tc>
          <w:tcPr>
            <w:tcW w:w="3119" w:type="dxa"/>
            <w:shd w:val="clear" w:color="auto" w:fill="0E8A38" w:themeFill="accent1"/>
          </w:tcPr>
          <w:p w14:paraId="37E24018" w14:textId="77777777" w:rsidR="0031384A" w:rsidRPr="0031384A" w:rsidRDefault="0031384A" w:rsidP="002A72F4">
            <w:pPr>
              <w:rPr>
                <w:rFonts w:eastAsia="Calibri" w:cs="Arial"/>
                <w:b/>
                <w:bCs/>
                <w:color w:val="FFFFFF" w:themeColor="background1"/>
                <w:sz w:val="20"/>
                <w:szCs w:val="20"/>
              </w:rPr>
            </w:pPr>
          </w:p>
          <w:p w14:paraId="7DC19FBF" w14:textId="77777777" w:rsidR="0031384A" w:rsidRPr="0031384A" w:rsidRDefault="0031384A" w:rsidP="002A72F4">
            <w:pPr>
              <w:rPr>
                <w:rFonts w:eastAsia="Calibri" w:cs="Arial"/>
                <w:b/>
                <w:bCs/>
                <w:color w:val="FFFFFF" w:themeColor="background1"/>
                <w:sz w:val="20"/>
                <w:szCs w:val="20"/>
              </w:rPr>
            </w:pPr>
            <w:r w:rsidRPr="0031384A">
              <w:rPr>
                <w:rFonts w:eastAsia="Calibri" w:cs="Arial"/>
                <w:b/>
                <w:bCs/>
                <w:color w:val="FFFFFF" w:themeColor="background1"/>
                <w:sz w:val="20"/>
                <w:szCs w:val="20"/>
              </w:rPr>
              <w:t>Existing provision /gaps</w:t>
            </w:r>
          </w:p>
          <w:p w14:paraId="081A6A16" w14:textId="77777777" w:rsidR="0031384A" w:rsidRPr="0031384A" w:rsidRDefault="0031384A" w:rsidP="002A72F4">
            <w:pPr>
              <w:rPr>
                <w:rFonts w:eastAsia="Calibri" w:cs="Arial"/>
                <w:b/>
                <w:bCs/>
                <w:color w:val="FFFFFF" w:themeColor="background1"/>
                <w:sz w:val="20"/>
                <w:szCs w:val="20"/>
              </w:rPr>
            </w:pPr>
          </w:p>
        </w:tc>
        <w:tc>
          <w:tcPr>
            <w:tcW w:w="2977" w:type="dxa"/>
            <w:shd w:val="clear" w:color="auto" w:fill="0E8A38" w:themeFill="accent1"/>
          </w:tcPr>
          <w:p w14:paraId="78647FAB" w14:textId="77777777" w:rsidR="0031384A" w:rsidRPr="0031384A" w:rsidRDefault="0031384A" w:rsidP="002A72F4">
            <w:pPr>
              <w:rPr>
                <w:rFonts w:eastAsia="Calibri" w:cs="Arial"/>
                <w:b/>
                <w:bCs/>
                <w:color w:val="FFFFFF" w:themeColor="background1"/>
                <w:sz w:val="20"/>
                <w:szCs w:val="20"/>
              </w:rPr>
            </w:pPr>
          </w:p>
          <w:p w14:paraId="4282AD5F" w14:textId="77777777" w:rsidR="0031384A" w:rsidRPr="0031384A" w:rsidRDefault="0031384A" w:rsidP="002A72F4">
            <w:pPr>
              <w:rPr>
                <w:rFonts w:eastAsia="Calibri" w:cs="Arial"/>
                <w:b/>
                <w:bCs/>
                <w:color w:val="FFFFFF" w:themeColor="background1"/>
                <w:sz w:val="20"/>
                <w:szCs w:val="20"/>
              </w:rPr>
            </w:pPr>
            <w:r w:rsidRPr="0031384A">
              <w:rPr>
                <w:rFonts w:eastAsia="Calibri" w:cs="Arial"/>
                <w:b/>
                <w:bCs/>
                <w:color w:val="FFFFFF" w:themeColor="background1"/>
                <w:sz w:val="20"/>
                <w:szCs w:val="20"/>
              </w:rPr>
              <w:t>Action needed</w:t>
            </w:r>
          </w:p>
          <w:p w14:paraId="2A41DEDE" w14:textId="77777777" w:rsidR="0031384A" w:rsidRPr="0031384A" w:rsidRDefault="0031384A" w:rsidP="002A72F4">
            <w:pPr>
              <w:rPr>
                <w:rFonts w:eastAsia="Calibri" w:cs="Arial"/>
                <w:b/>
                <w:bCs/>
                <w:color w:val="FFFFFF" w:themeColor="background1"/>
                <w:sz w:val="20"/>
                <w:szCs w:val="20"/>
              </w:rPr>
            </w:pPr>
          </w:p>
        </w:tc>
        <w:tc>
          <w:tcPr>
            <w:tcW w:w="1829" w:type="dxa"/>
            <w:shd w:val="clear" w:color="auto" w:fill="0E8A38" w:themeFill="accent1"/>
          </w:tcPr>
          <w:p w14:paraId="3C0FBDD2" w14:textId="77777777" w:rsidR="0031384A" w:rsidRPr="0031384A" w:rsidRDefault="0031384A" w:rsidP="002A72F4">
            <w:pPr>
              <w:rPr>
                <w:rFonts w:eastAsia="Calibri" w:cs="Arial"/>
                <w:b/>
                <w:bCs/>
                <w:color w:val="FFFFFF" w:themeColor="background1"/>
                <w:sz w:val="20"/>
                <w:szCs w:val="20"/>
              </w:rPr>
            </w:pPr>
            <w:r w:rsidRPr="0031384A">
              <w:rPr>
                <w:rFonts w:eastAsia="Calibri" w:cs="Arial"/>
                <w:b/>
                <w:bCs/>
                <w:color w:val="FFFFFF" w:themeColor="background1"/>
                <w:sz w:val="20"/>
                <w:szCs w:val="20"/>
              </w:rPr>
              <w:t>Authorised action/</w:t>
            </w:r>
          </w:p>
          <w:p w14:paraId="42F1EC98" w14:textId="77777777" w:rsidR="0031384A" w:rsidRPr="0031384A" w:rsidRDefault="0031384A" w:rsidP="002A72F4">
            <w:pPr>
              <w:rPr>
                <w:rFonts w:eastAsia="Calibri" w:cs="Arial"/>
                <w:b/>
                <w:bCs/>
                <w:color w:val="FFFFFF" w:themeColor="background1"/>
                <w:sz w:val="20"/>
                <w:szCs w:val="20"/>
              </w:rPr>
            </w:pPr>
            <w:r w:rsidRPr="0031384A">
              <w:rPr>
                <w:rFonts w:eastAsia="Calibri" w:cs="Arial"/>
                <w:b/>
                <w:bCs/>
                <w:color w:val="FFFFFF" w:themeColor="background1"/>
                <w:sz w:val="20"/>
                <w:szCs w:val="20"/>
              </w:rPr>
              <w:t>date for completion</w:t>
            </w:r>
          </w:p>
        </w:tc>
        <w:tc>
          <w:tcPr>
            <w:tcW w:w="1147" w:type="dxa"/>
            <w:shd w:val="clear" w:color="auto" w:fill="0E8A38" w:themeFill="accent1"/>
          </w:tcPr>
          <w:p w14:paraId="560E4BC0" w14:textId="77777777" w:rsidR="0031384A" w:rsidRPr="0031384A" w:rsidRDefault="0031384A" w:rsidP="002A72F4">
            <w:pPr>
              <w:rPr>
                <w:rFonts w:eastAsia="Calibri" w:cs="Arial"/>
                <w:b/>
                <w:bCs/>
                <w:color w:val="FFFFFF" w:themeColor="background1"/>
                <w:sz w:val="20"/>
                <w:szCs w:val="20"/>
              </w:rPr>
            </w:pPr>
            <w:r w:rsidRPr="0031384A">
              <w:rPr>
                <w:rFonts w:eastAsia="Calibri" w:cs="Arial"/>
                <w:b/>
                <w:bCs/>
                <w:color w:val="FFFFFF" w:themeColor="background1"/>
                <w:sz w:val="20"/>
                <w:szCs w:val="20"/>
              </w:rPr>
              <w:t>Review date</w:t>
            </w:r>
          </w:p>
        </w:tc>
      </w:tr>
      <w:tr w:rsidR="009B2E43" w:rsidRPr="0031384A" w14:paraId="0D17800C" w14:textId="77777777" w:rsidTr="00F654F1">
        <w:tc>
          <w:tcPr>
            <w:tcW w:w="5098" w:type="dxa"/>
            <w:shd w:val="clear" w:color="auto" w:fill="F2F2F2" w:themeFill="background1" w:themeFillShade="F2"/>
          </w:tcPr>
          <w:p w14:paraId="5D765C11" w14:textId="77777777" w:rsidR="009B2E43" w:rsidRPr="0031384A" w:rsidRDefault="009B2E43" w:rsidP="00CA774C">
            <w:pPr>
              <w:pStyle w:val="Heading2"/>
              <w:outlineLvl w:val="1"/>
            </w:pPr>
            <w:bookmarkStart w:id="57" w:name="_Toc90905976"/>
            <w:bookmarkStart w:id="58" w:name="_Toc90906121"/>
            <w:bookmarkStart w:id="59" w:name="_Toc90031617"/>
            <w:r w:rsidRPr="0031384A">
              <w:t>Senior Responsibility for Freedom to Speak Up</w:t>
            </w:r>
            <w:bookmarkEnd w:id="57"/>
            <w:bookmarkEnd w:id="58"/>
          </w:p>
          <w:p w14:paraId="20B6D3AA" w14:textId="77777777" w:rsidR="009B2E43" w:rsidRPr="0031384A" w:rsidRDefault="009B2E43" w:rsidP="005E0C36">
            <w:pPr>
              <w:rPr>
                <w:rFonts w:cs="Arial"/>
                <w:sz w:val="22"/>
              </w:rPr>
            </w:pPr>
          </w:p>
          <w:p w14:paraId="3D757F9C" w14:textId="7301350D" w:rsidR="009B2E43" w:rsidRPr="0031384A" w:rsidRDefault="009B2E43" w:rsidP="5247A891">
            <w:pPr>
              <w:rPr>
                <w:rFonts w:eastAsia="Calibri" w:cs="Arial"/>
                <w:sz w:val="22"/>
              </w:rPr>
            </w:pPr>
            <w:r w:rsidRPr="0031384A">
              <w:rPr>
                <w:rFonts w:cs="Arial"/>
                <w:sz w:val="22"/>
              </w:rPr>
              <w:t>Assurance should be obtained that those with senior Freedom to Speak Up responsibility have the confidence of the workforce.</w:t>
            </w:r>
            <w:bookmarkEnd w:id="59"/>
          </w:p>
        </w:tc>
        <w:tc>
          <w:tcPr>
            <w:tcW w:w="3119" w:type="dxa"/>
          </w:tcPr>
          <w:p w14:paraId="5FAD5A23" w14:textId="77777777" w:rsidR="009B2E43" w:rsidRPr="0031384A" w:rsidRDefault="009B2E43" w:rsidP="5247A891">
            <w:pPr>
              <w:rPr>
                <w:rFonts w:eastAsia="Calibri" w:cs="Arial"/>
                <w:sz w:val="22"/>
              </w:rPr>
            </w:pPr>
          </w:p>
        </w:tc>
        <w:tc>
          <w:tcPr>
            <w:tcW w:w="2977" w:type="dxa"/>
          </w:tcPr>
          <w:p w14:paraId="1867E216" w14:textId="77777777" w:rsidR="009B2E43" w:rsidRPr="0031384A" w:rsidRDefault="009B2E43" w:rsidP="5247A891">
            <w:pPr>
              <w:rPr>
                <w:rFonts w:eastAsia="Calibri" w:cs="Arial"/>
                <w:sz w:val="22"/>
              </w:rPr>
            </w:pPr>
          </w:p>
        </w:tc>
        <w:tc>
          <w:tcPr>
            <w:tcW w:w="1829" w:type="dxa"/>
          </w:tcPr>
          <w:p w14:paraId="645912A6" w14:textId="77777777" w:rsidR="009B2E43" w:rsidRPr="0031384A" w:rsidRDefault="009B2E43" w:rsidP="5247A891">
            <w:pPr>
              <w:rPr>
                <w:rFonts w:eastAsia="Calibri" w:cs="Arial"/>
                <w:sz w:val="22"/>
              </w:rPr>
            </w:pPr>
          </w:p>
        </w:tc>
        <w:tc>
          <w:tcPr>
            <w:tcW w:w="1147" w:type="dxa"/>
          </w:tcPr>
          <w:p w14:paraId="482D4E09" w14:textId="77777777" w:rsidR="009B2E43" w:rsidRPr="0031384A" w:rsidRDefault="009B2E43" w:rsidP="5247A891">
            <w:pPr>
              <w:rPr>
                <w:rFonts w:eastAsia="Calibri" w:cs="Arial"/>
                <w:sz w:val="22"/>
              </w:rPr>
            </w:pPr>
          </w:p>
        </w:tc>
      </w:tr>
      <w:tr w:rsidR="009B2E43" w:rsidRPr="0031384A" w14:paraId="45CC3136" w14:textId="77777777" w:rsidTr="00F654F1">
        <w:tc>
          <w:tcPr>
            <w:tcW w:w="5098" w:type="dxa"/>
            <w:shd w:val="clear" w:color="auto" w:fill="F2F2F2" w:themeFill="background1" w:themeFillShade="F2"/>
          </w:tcPr>
          <w:p w14:paraId="5997F87E" w14:textId="77777777" w:rsidR="009B2E43" w:rsidRPr="0031384A" w:rsidRDefault="009B2E43" w:rsidP="00CA774C">
            <w:pPr>
              <w:pStyle w:val="Heading2"/>
              <w:outlineLvl w:val="1"/>
            </w:pPr>
            <w:bookmarkStart w:id="60" w:name="_Toc90905977"/>
            <w:bookmarkStart w:id="61" w:name="_Toc90906122"/>
            <w:bookmarkStart w:id="62" w:name="_Toc90031618"/>
            <w:r w:rsidRPr="0031384A">
              <w:t>Vision and strategy - Speaking Up</w:t>
            </w:r>
            <w:bookmarkEnd w:id="60"/>
            <w:bookmarkEnd w:id="61"/>
          </w:p>
          <w:p w14:paraId="7CF85144" w14:textId="77777777" w:rsidR="009B2E43" w:rsidRPr="0031384A" w:rsidRDefault="009B2E43" w:rsidP="005E0C36">
            <w:pPr>
              <w:rPr>
                <w:rFonts w:cs="Arial"/>
                <w:b/>
                <w:sz w:val="22"/>
              </w:rPr>
            </w:pPr>
          </w:p>
          <w:p w14:paraId="57FE673F" w14:textId="47149DD8" w:rsidR="009B2E43" w:rsidRPr="0031384A" w:rsidRDefault="009B2E43" w:rsidP="005E0C36">
            <w:pPr>
              <w:rPr>
                <w:rFonts w:cs="Arial"/>
                <w:sz w:val="22"/>
              </w:rPr>
            </w:pPr>
            <w:r w:rsidRPr="0031384A">
              <w:rPr>
                <w:rFonts w:cs="Arial"/>
                <w:sz w:val="22"/>
              </w:rPr>
              <w:t xml:space="preserve">In line with guidance from NHS England and Improvement, the board (or equivalent) should articulate a vision of how it intends to support its workers to speak up, which encompasses a strategy containing: </w:t>
            </w:r>
          </w:p>
          <w:p w14:paraId="55CBCA08" w14:textId="77777777" w:rsidR="009B2E43" w:rsidRPr="0031384A" w:rsidRDefault="009B2E43" w:rsidP="009B2E43">
            <w:pPr>
              <w:pStyle w:val="ListParagraph"/>
              <w:numPr>
                <w:ilvl w:val="0"/>
                <w:numId w:val="20"/>
              </w:numPr>
              <w:rPr>
                <w:rFonts w:cs="Arial"/>
                <w:sz w:val="22"/>
              </w:rPr>
            </w:pPr>
            <w:r w:rsidRPr="0031384A">
              <w:rPr>
                <w:rFonts w:cs="Arial"/>
                <w:sz w:val="22"/>
              </w:rPr>
              <w:t>measures to identify the main issues the organisation should address</w:t>
            </w:r>
          </w:p>
          <w:p w14:paraId="06126F33" w14:textId="77777777" w:rsidR="009B2E43" w:rsidRPr="0031384A" w:rsidRDefault="009B2E43" w:rsidP="009B2E43">
            <w:pPr>
              <w:pStyle w:val="ListParagraph"/>
              <w:numPr>
                <w:ilvl w:val="0"/>
                <w:numId w:val="20"/>
              </w:numPr>
              <w:rPr>
                <w:rFonts w:cs="Arial"/>
                <w:sz w:val="22"/>
              </w:rPr>
            </w:pPr>
            <w:r w:rsidRPr="0031384A">
              <w:rPr>
                <w:rFonts w:cs="Arial"/>
                <w:sz w:val="22"/>
              </w:rPr>
              <w:t xml:space="preserve">deliverable objectives within fixed timescales </w:t>
            </w:r>
          </w:p>
          <w:p w14:paraId="0C40A649" w14:textId="77777777" w:rsidR="009B2E43" w:rsidRPr="0031384A" w:rsidRDefault="009B2E43" w:rsidP="009B2E43">
            <w:pPr>
              <w:pStyle w:val="ListParagraph"/>
              <w:numPr>
                <w:ilvl w:val="0"/>
                <w:numId w:val="20"/>
              </w:numPr>
              <w:rPr>
                <w:rFonts w:cs="Arial"/>
                <w:sz w:val="22"/>
              </w:rPr>
            </w:pPr>
            <w:r w:rsidRPr="0031384A">
              <w:rPr>
                <w:rFonts w:cs="Arial"/>
                <w:sz w:val="22"/>
              </w:rPr>
              <w:t>steps to measure the effectiveness of those actions</w:t>
            </w:r>
          </w:p>
          <w:p w14:paraId="2737FF2F" w14:textId="77777777" w:rsidR="009B2E43" w:rsidRPr="0031384A" w:rsidRDefault="009B2E43" w:rsidP="009B2E43">
            <w:pPr>
              <w:pStyle w:val="ListParagraph"/>
              <w:numPr>
                <w:ilvl w:val="0"/>
                <w:numId w:val="20"/>
              </w:numPr>
              <w:rPr>
                <w:rFonts w:cs="Arial"/>
                <w:sz w:val="22"/>
              </w:rPr>
            </w:pPr>
            <w:r w:rsidRPr="0031384A">
              <w:rPr>
                <w:rFonts w:cs="Arial"/>
                <w:sz w:val="22"/>
              </w:rPr>
              <w:t>under appropriate executive oversight</w:t>
            </w:r>
          </w:p>
          <w:p w14:paraId="11A19207" w14:textId="73A362B0" w:rsidR="009B2E43" w:rsidRPr="0031384A" w:rsidRDefault="009B2E43" w:rsidP="5247A891">
            <w:pPr>
              <w:pStyle w:val="ListParagraph"/>
              <w:numPr>
                <w:ilvl w:val="0"/>
                <w:numId w:val="20"/>
              </w:numPr>
              <w:rPr>
                <w:rFonts w:cs="Arial"/>
                <w:b/>
                <w:sz w:val="22"/>
              </w:rPr>
            </w:pPr>
            <w:r w:rsidRPr="0031384A">
              <w:rPr>
                <w:rFonts w:cs="Arial"/>
                <w:sz w:val="22"/>
              </w:rPr>
              <w:t>and to effectively communicate this to trust workers</w:t>
            </w:r>
            <w:bookmarkEnd w:id="62"/>
          </w:p>
        </w:tc>
        <w:tc>
          <w:tcPr>
            <w:tcW w:w="3119" w:type="dxa"/>
          </w:tcPr>
          <w:p w14:paraId="7E6BE118" w14:textId="77777777" w:rsidR="009B2E43" w:rsidRPr="0031384A" w:rsidRDefault="009B2E43" w:rsidP="5247A891">
            <w:pPr>
              <w:rPr>
                <w:rFonts w:eastAsia="Calibri" w:cs="Arial"/>
                <w:sz w:val="22"/>
              </w:rPr>
            </w:pPr>
          </w:p>
        </w:tc>
        <w:tc>
          <w:tcPr>
            <w:tcW w:w="2977" w:type="dxa"/>
          </w:tcPr>
          <w:p w14:paraId="0BA74BA9" w14:textId="77777777" w:rsidR="009B2E43" w:rsidRPr="0031384A" w:rsidRDefault="009B2E43" w:rsidP="5247A891">
            <w:pPr>
              <w:rPr>
                <w:rFonts w:eastAsia="Calibri" w:cs="Arial"/>
                <w:sz w:val="22"/>
              </w:rPr>
            </w:pPr>
          </w:p>
        </w:tc>
        <w:tc>
          <w:tcPr>
            <w:tcW w:w="1829" w:type="dxa"/>
          </w:tcPr>
          <w:p w14:paraId="2C0E4246" w14:textId="77777777" w:rsidR="009B2E43" w:rsidRPr="0031384A" w:rsidRDefault="009B2E43" w:rsidP="5247A891">
            <w:pPr>
              <w:rPr>
                <w:rFonts w:eastAsia="Calibri" w:cs="Arial"/>
                <w:sz w:val="22"/>
              </w:rPr>
            </w:pPr>
          </w:p>
        </w:tc>
        <w:tc>
          <w:tcPr>
            <w:tcW w:w="1147" w:type="dxa"/>
          </w:tcPr>
          <w:p w14:paraId="3A1153E4" w14:textId="77777777" w:rsidR="009B2E43" w:rsidRPr="0031384A" w:rsidRDefault="009B2E43" w:rsidP="5247A891">
            <w:pPr>
              <w:rPr>
                <w:rFonts w:eastAsia="Calibri" w:cs="Arial"/>
                <w:sz w:val="22"/>
              </w:rPr>
            </w:pPr>
          </w:p>
        </w:tc>
      </w:tr>
      <w:tr w:rsidR="009B2E43" w:rsidRPr="0031384A" w14:paraId="5A3A5A36" w14:textId="77777777" w:rsidTr="00F654F1">
        <w:tc>
          <w:tcPr>
            <w:tcW w:w="5098" w:type="dxa"/>
            <w:shd w:val="clear" w:color="auto" w:fill="F2F2F2" w:themeFill="background1" w:themeFillShade="F2"/>
          </w:tcPr>
          <w:p w14:paraId="4588C739" w14:textId="77777777" w:rsidR="009B2E43" w:rsidRPr="0031384A" w:rsidRDefault="009B2E43" w:rsidP="00CA774C">
            <w:pPr>
              <w:pStyle w:val="Heading2"/>
              <w:outlineLvl w:val="1"/>
            </w:pPr>
            <w:bookmarkStart w:id="63" w:name="_Toc90905978"/>
            <w:bookmarkStart w:id="64" w:name="_Toc90906123"/>
            <w:bookmarkStart w:id="65" w:name="_Toc90031620"/>
            <w:r w:rsidRPr="0031384A">
              <w:lastRenderedPageBreak/>
              <w:t>Communications plan - Speaking Up</w:t>
            </w:r>
            <w:bookmarkEnd w:id="63"/>
            <w:bookmarkEnd w:id="64"/>
            <w:r w:rsidRPr="0031384A">
              <w:t xml:space="preserve"> </w:t>
            </w:r>
          </w:p>
          <w:p w14:paraId="2B4FB10C" w14:textId="77777777" w:rsidR="009B2E43" w:rsidRPr="0031384A" w:rsidRDefault="009B2E43" w:rsidP="005E0C36">
            <w:pPr>
              <w:rPr>
                <w:rFonts w:cs="Arial"/>
                <w:sz w:val="22"/>
              </w:rPr>
            </w:pPr>
          </w:p>
          <w:p w14:paraId="52C689C1" w14:textId="77777777" w:rsidR="004E433A" w:rsidRPr="0031384A" w:rsidRDefault="004E433A" w:rsidP="004E433A">
            <w:pPr>
              <w:rPr>
                <w:rFonts w:cs="Arial"/>
                <w:sz w:val="22"/>
              </w:rPr>
            </w:pPr>
            <w:r w:rsidRPr="0031384A">
              <w:rPr>
                <w:rFonts w:cs="Arial"/>
                <w:sz w:val="22"/>
              </w:rPr>
              <w:t xml:space="preserve">In line with guidance from </w:t>
            </w:r>
            <w:hyperlink r:id="rId13" w:history="1">
              <w:r w:rsidRPr="0031384A">
                <w:rPr>
                  <w:rStyle w:val="Hyperlink"/>
                  <w:rFonts w:cs="Arial"/>
                  <w:sz w:val="22"/>
                </w:rPr>
                <w:t>NHS England and Improvement</w:t>
              </w:r>
            </w:hyperlink>
            <w:r w:rsidRPr="0031384A">
              <w:rPr>
                <w:rFonts w:cs="Arial"/>
                <w:sz w:val="22"/>
              </w:rPr>
              <w:t xml:space="preserve">, a communications plan should be developed and implemented to embed speaking up, including the promotion of the Freedom to Speak Up Guardian role. The effectiveness of the plan should be evaluated, and action taken where learning / gaps are identified. </w:t>
            </w:r>
          </w:p>
          <w:p w14:paraId="14C1717D" w14:textId="77777777" w:rsidR="004E433A" w:rsidRPr="0031384A" w:rsidRDefault="004E433A" w:rsidP="004E433A">
            <w:pPr>
              <w:rPr>
                <w:rFonts w:cs="Arial"/>
                <w:sz w:val="22"/>
              </w:rPr>
            </w:pPr>
          </w:p>
          <w:p w14:paraId="6814C75F" w14:textId="437E33BE" w:rsidR="009B2E43" w:rsidRPr="0031384A" w:rsidRDefault="004E433A" w:rsidP="5247A891">
            <w:pPr>
              <w:rPr>
                <w:rFonts w:cs="Arial"/>
                <w:b/>
                <w:sz w:val="22"/>
              </w:rPr>
            </w:pPr>
            <w:r w:rsidRPr="0031384A">
              <w:rPr>
                <w:rFonts w:cs="Arial"/>
                <w:sz w:val="22"/>
              </w:rPr>
              <w:t>Changes to the Freedom to Speak Up arrangements should be communicated to workers in a timely way.</w:t>
            </w:r>
            <w:r w:rsidR="009B2E43" w:rsidRPr="0031384A">
              <w:rPr>
                <w:rFonts w:eastAsia="Times New Roman" w:cs="Arial"/>
                <w:sz w:val="22"/>
              </w:rPr>
              <w:t xml:space="preserve"> </w:t>
            </w:r>
            <w:bookmarkEnd w:id="65"/>
          </w:p>
        </w:tc>
        <w:tc>
          <w:tcPr>
            <w:tcW w:w="3119" w:type="dxa"/>
          </w:tcPr>
          <w:p w14:paraId="003183D2" w14:textId="77777777" w:rsidR="009B2E43" w:rsidRPr="0031384A" w:rsidRDefault="009B2E43" w:rsidP="5247A891">
            <w:pPr>
              <w:rPr>
                <w:rFonts w:eastAsia="Calibri" w:cs="Arial"/>
                <w:sz w:val="22"/>
              </w:rPr>
            </w:pPr>
          </w:p>
        </w:tc>
        <w:tc>
          <w:tcPr>
            <w:tcW w:w="2977" w:type="dxa"/>
          </w:tcPr>
          <w:p w14:paraId="069ACFE2" w14:textId="77777777" w:rsidR="009B2E43" w:rsidRPr="0031384A" w:rsidRDefault="009B2E43" w:rsidP="5247A891">
            <w:pPr>
              <w:rPr>
                <w:rFonts w:eastAsia="Calibri" w:cs="Arial"/>
                <w:sz w:val="22"/>
              </w:rPr>
            </w:pPr>
          </w:p>
        </w:tc>
        <w:tc>
          <w:tcPr>
            <w:tcW w:w="1829" w:type="dxa"/>
          </w:tcPr>
          <w:p w14:paraId="7C25B43E" w14:textId="77777777" w:rsidR="009B2E43" w:rsidRPr="0031384A" w:rsidRDefault="009B2E43" w:rsidP="5247A891">
            <w:pPr>
              <w:rPr>
                <w:rFonts w:eastAsia="Calibri" w:cs="Arial"/>
                <w:sz w:val="22"/>
              </w:rPr>
            </w:pPr>
          </w:p>
        </w:tc>
        <w:tc>
          <w:tcPr>
            <w:tcW w:w="1147" w:type="dxa"/>
          </w:tcPr>
          <w:p w14:paraId="4D809E01" w14:textId="77777777" w:rsidR="009B2E43" w:rsidRPr="0031384A" w:rsidRDefault="009B2E43" w:rsidP="5247A891">
            <w:pPr>
              <w:rPr>
                <w:rFonts w:eastAsia="Calibri" w:cs="Arial"/>
                <w:sz w:val="22"/>
              </w:rPr>
            </w:pPr>
          </w:p>
        </w:tc>
      </w:tr>
      <w:tr w:rsidR="009B2E43" w:rsidRPr="0031384A" w14:paraId="1F2D5001" w14:textId="77777777" w:rsidTr="00F654F1">
        <w:tc>
          <w:tcPr>
            <w:tcW w:w="5098" w:type="dxa"/>
            <w:shd w:val="clear" w:color="auto" w:fill="F2F2F2" w:themeFill="background1" w:themeFillShade="F2"/>
          </w:tcPr>
          <w:p w14:paraId="387645F6" w14:textId="4E41516F" w:rsidR="004E433A" w:rsidRPr="0031384A" w:rsidRDefault="004E433A" w:rsidP="00CA774C">
            <w:pPr>
              <w:pStyle w:val="Heading2"/>
              <w:outlineLvl w:val="1"/>
            </w:pPr>
            <w:bookmarkStart w:id="66" w:name="_Toc90905979"/>
            <w:bookmarkStart w:id="67" w:name="_Toc90906124"/>
            <w:r w:rsidRPr="0031384A">
              <w:t>Freedom to Speak Up self-review toolkit</w:t>
            </w:r>
            <w:bookmarkEnd w:id="66"/>
            <w:bookmarkEnd w:id="67"/>
          </w:p>
          <w:p w14:paraId="6A88AC03" w14:textId="77777777" w:rsidR="009B2E43" w:rsidRPr="0031384A" w:rsidRDefault="009B2E43" w:rsidP="005E0C36">
            <w:pPr>
              <w:rPr>
                <w:rFonts w:cs="Arial"/>
                <w:sz w:val="22"/>
              </w:rPr>
            </w:pPr>
          </w:p>
          <w:p w14:paraId="651A101C" w14:textId="5118A827" w:rsidR="009B2E43" w:rsidRPr="0031384A" w:rsidRDefault="009B2E43" w:rsidP="5247A891">
            <w:pPr>
              <w:rPr>
                <w:rFonts w:cs="Arial"/>
                <w:sz w:val="22"/>
              </w:rPr>
            </w:pPr>
            <w:r w:rsidRPr="0031384A">
              <w:rPr>
                <w:rFonts w:cs="Arial"/>
                <w:sz w:val="22"/>
              </w:rPr>
              <w:t xml:space="preserve">NHS E/I </w:t>
            </w:r>
            <w:hyperlink r:id="rId14" w:history="1">
              <w:r w:rsidR="004E433A" w:rsidRPr="0031384A">
                <w:rPr>
                  <w:rStyle w:val="Hyperlink"/>
                  <w:rFonts w:cs="Arial"/>
                  <w:sz w:val="22"/>
                </w:rPr>
                <w:t>Freedom to Speak Up self-review toolkit</w:t>
              </w:r>
            </w:hyperlink>
            <w:r w:rsidRPr="0031384A">
              <w:rPr>
                <w:rFonts w:cs="Arial"/>
                <w:sz w:val="22"/>
              </w:rPr>
              <w:t xml:space="preserve"> should be completed and shared in accordance with guidance from NHS England and Improvement</w:t>
            </w:r>
            <w:r w:rsidR="004E433A" w:rsidRPr="0031384A">
              <w:rPr>
                <w:rFonts w:cs="Arial"/>
                <w:sz w:val="22"/>
              </w:rPr>
              <w:t>.</w:t>
            </w:r>
          </w:p>
        </w:tc>
        <w:tc>
          <w:tcPr>
            <w:tcW w:w="3119" w:type="dxa"/>
          </w:tcPr>
          <w:p w14:paraId="33E8F21E" w14:textId="77777777" w:rsidR="009B2E43" w:rsidRPr="0031384A" w:rsidRDefault="009B2E43" w:rsidP="5247A891">
            <w:pPr>
              <w:rPr>
                <w:rFonts w:eastAsia="Calibri" w:cs="Arial"/>
                <w:sz w:val="22"/>
              </w:rPr>
            </w:pPr>
          </w:p>
        </w:tc>
        <w:tc>
          <w:tcPr>
            <w:tcW w:w="2977" w:type="dxa"/>
          </w:tcPr>
          <w:p w14:paraId="0A9D2A9D" w14:textId="77777777" w:rsidR="009B2E43" w:rsidRPr="0031384A" w:rsidRDefault="009B2E43" w:rsidP="5247A891">
            <w:pPr>
              <w:rPr>
                <w:rFonts w:eastAsia="Calibri" w:cs="Arial"/>
                <w:sz w:val="22"/>
              </w:rPr>
            </w:pPr>
          </w:p>
        </w:tc>
        <w:tc>
          <w:tcPr>
            <w:tcW w:w="1829" w:type="dxa"/>
          </w:tcPr>
          <w:p w14:paraId="4A7887FA" w14:textId="77777777" w:rsidR="009B2E43" w:rsidRPr="0031384A" w:rsidRDefault="009B2E43" w:rsidP="5247A891">
            <w:pPr>
              <w:rPr>
                <w:rFonts w:eastAsia="Calibri" w:cs="Arial"/>
                <w:sz w:val="22"/>
              </w:rPr>
            </w:pPr>
          </w:p>
        </w:tc>
        <w:tc>
          <w:tcPr>
            <w:tcW w:w="1147" w:type="dxa"/>
          </w:tcPr>
          <w:p w14:paraId="0D054B7A" w14:textId="77777777" w:rsidR="009B2E43" w:rsidRPr="0031384A" w:rsidRDefault="009B2E43" w:rsidP="5247A891">
            <w:pPr>
              <w:rPr>
                <w:rFonts w:eastAsia="Calibri" w:cs="Arial"/>
                <w:sz w:val="22"/>
              </w:rPr>
            </w:pPr>
          </w:p>
        </w:tc>
      </w:tr>
      <w:tr w:rsidR="009B2E43" w:rsidRPr="0031384A" w14:paraId="2B55188B" w14:textId="77777777" w:rsidTr="00F654F1">
        <w:tc>
          <w:tcPr>
            <w:tcW w:w="5098" w:type="dxa"/>
            <w:shd w:val="clear" w:color="auto" w:fill="F2F2F2" w:themeFill="background1" w:themeFillShade="F2"/>
          </w:tcPr>
          <w:p w14:paraId="76CB621A" w14:textId="01150A25" w:rsidR="009B2E43" w:rsidRPr="0031384A" w:rsidRDefault="009B2E43" w:rsidP="00CA774C">
            <w:pPr>
              <w:pStyle w:val="Heading2"/>
              <w:outlineLvl w:val="1"/>
            </w:pPr>
            <w:bookmarkStart w:id="68" w:name="_Toc90905980"/>
            <w:bookmarkStart w:id="69" w:name="_Toc90906125"/>
            <w:r w:rsidRPr="0031384A">
              <w:t>Measuring speaking up culture</w:t>
            </w:r>
            <w:bookmarkEnd w:id="68"/>
            <w:bookmarkEnd w:id="69"/>
          </w:p>
          <w:p w14:paraId="737F6AF7" w14:textId="77777777" w:rsidR="009B2E43" w:rsidRPr="0031384A" w:rsidRDefault="009B2E43" w:rsidP="005E0C36">
            <w:pPr>
              <w:rPr>
                <w:rFonts w:cs="Arial"/>
                <w:sz w:val="22"/>
              </w:rPr>
            </w:pPr>
          </w:p>
          <w:p w14:paraId="6299A843" w14:textId="77777777" w:rsidR="00C8303B" w:rsidRPr="0031384A" w:rsidRDefault="00C8303B" w:rsidP="00C8303B">
            <w:pPr>
              <w:rPr>
                <w:rFonts w:cs="Arial"/>
                <w:sz w:val="22"/>
              </w:rPr>
            </w:pPr>
            <w:r w:rsidRPr="0031384A">
              <w:rPr>
                <w:rFonts w:cs="Arial"/>
                <w:sz w:val="22"/>
              </w:rPr>
              <w:t>Measures should be identified and employed to monitor the development of a positive speaking up culture, so that leaders are responsive to the needs of all workers and are developed in accordance with good practice.</w:t>
            </w:r>
          </w:p>
          <w:p w14:paraId="47E46397" w14:textId="77777777" w:rsidR="009B2E43" w:rsidRPr="0031384A" w:rsidRDefault="009B2E43" w:rsidP="005E0C36">
            <w:pPr>
              <w:rPr>
                <w:rFonts w:cs="Arial"/>
                <w:sz w:val="22"/>
              </w:rPr>
            </w:pPr>
          </w:p>
          <w:p w14:paraId="5BB4B757" w14:textId="4BD7C880" w:rsidR="009B2E43" w:rsidRPr="0031384A" w:rsidRDefault="009B2E43" w:rsidP="5247A891">
            <w:pPr>
              <w:rPr>
                <w:rFonts w:cs="Arial"/>
                <w:b/>
                <w:sz w:val="22"/>
              </w:rPr>
            </w:pPr>
            <w:r w:rsidRPr="0031384A">
              <w:rPr>
                <w:rFonts w:cs="Arial"/>
                <w:sz w:val="22"/>
              </w:rPr>
              <w:t>Incident reporting rates should be regularly reviewed to identify any areas which appear to be under-reporting and action taken to address this.</w:t>
            </w:r>
            <w:r w:rsidRPr="0031384A">
              <w:rPr>
                <w:rFonts w:cs="Arial"/>
                <w:b/>
                <w:sz w:val="22"/>
              </w:rPr>
              <w:t xml:space="preserve">  </w:t>
            </w:r>
          </w:p>
        </w:tc>
        <w:tc>
          <w:tcPr>
            <w:tcW w:w="3119" w:type="dxa"/>
          </w:tcPr>
          <w:p w14:paraId="3EEA78F8" w14:textId="77777777" w:rsidR="009B2E43" w:rsidRPr="0031384A" w:rsidRDefault="009B2E43" w:rsidP="5247A891">
            <w:pPr>
              <w:rPr>
                <w:rFonts w:eastAsia="Calibri" w:cs="Arial"/>
                <w:sz w:val="22"/>
              </w:rPr>
            </w:pPr>
          </w:p>
        </w:tc>
        <w:tc>
          <w:tcPr>
            <w:tcW w:w="2977" w:type="dxa"/>
          </w:tcPr>
          <w:p w14:paraId="442F9F4E" w14:textId="77777777" w:rsidR="009B2E43" w:rsidRPr="0031384A" w:rsidRDefault="009B2E43" w:rsidP="5247A891">
            <w:pPr>
              <w:rPr>
                <w:rFonts w:eastAsia="Calibri" w:cs="Arial"/>
                <w:sz w:val="22"/>
              </w:rPr>
            </w:pPr>
          </w:p>
        </w:tc>
        <w:tc>
          <w:tcPr>
            <w:tcW w:w="1829" w:type="dxa"/>
          </w:tcPr>
          <w:p w14:paraId="71FF4BAC" w14:textId="77777777" w:rsidR="009B2E43" w:rsidRPr="0031384A" w:rsidRDefault="009B2E43" w:rsidP="5247A891">
            <w:pPr>
              <w:rPr>
                <w:rFonts w:eastAsia="Calibri" w:cs="Arial"/>
                <w:sz w:val="22"/>
              </w:rPr>
            </w:pPr>
          </w:p>
        </w:tc>
        <w:tc>
          <w:tcPr>
            <w:tcW w:w="1147" w:type="dxa"/>
          </w:tcPr>
          <w:p w14:paraId="6A070B9B" w14:textId="77777777" w:rsidR="009B2E43" w:rsidRPr="0031384A" w:rsidRDefault="009B2E43" w:rsidP="5247A891">
            <w:pPr>
              <w:rPr>
                <w:rFonts w:eastAsia="Calibri" w:cs="Arial"/>
                <w:sz w:val="22"/>
              </w:rPr>
            </w:pPr>
          </w:p>
        </w:tc>
      </w:tr>
      <w:tr w:rsidR="009B2E43" w:rsidRPr="0031384A" w14:paraId="100F809E" w14:textId="77777777" w:rsidTr="00F654F1">
        <w:tc>
          <w:tcPr>
            <w:tcW w:w="5098" w:type="dxa"/>
            <w:shd w:val="clear" w:color="auto" w:fill="F2F2F2" w:themeFill="background1" w:themeFillShade="F2"/>
          </w:tcPr>
          <w:p w14:paraId="7A9B6129" w14:textId="14957BB2" w:rsidR="009B2E43" w:rsidRPr="0031384A" w:rsidRDefault="00C8303B" w:rsidP="00CA774C">
            <w:pPr>
              <w:pStyle w:val="Heading2"/>
              <w:outlineLvl w:val="1"/>
            </w:pPr>
            <w:bookmarkStart w:id="70" w:name="_Toc90905981"/>
            <w:bookmarkStart w:id="71" w:name="_Toc90906126"/>
            <w:r w:rsidRPr="0031384A">
              <w:lastRenderedPageBreak/>
              <w:t>Ca</w:t>
            </w:r>
            <w:r w:rsidR="009B2E43" w:rsidRPr="0031384A">
              <w:t>se review gap analysis</w:t>
            </w:r>
            <w:bookmarkEnd w:id="70"/>
            <w:bookmarkEnd w:id="71"/>
          </w:p>
          <w:p w14:paraId="35EB6BD7" w14:textId="77777777" w:rsidR="009B2E43" w:rsidRPr="0031384A" w:rsidRDefault="009B2E43" w:rsidP="005E0C36">
            <w:pPr>
              <w:rPr>
                <w:rFonts w:cs="Arial"/>
                <w:sz w:val="22"/>
              </w:rPr>
            </w:pPr>
          </w:p>
          <w:p w14:paraId="207CAD29" w14:textId="6F2EE44E" w:rsidR="009B2E43" w:rsidRPr="0031384A" w:rsidRDefault="009B2E43" w:rsidP="5247A891">
            <w:pPr>
              <w:rPr>
                <w:rFonts w:cs="Arial"/>
                <w:sz w:val="22"/>
              </w:rPr>
            </w:pPr>
            <w:r w:rsidRPr="0031384A">
              <w:rPr>
                <w:rFonts w:cs="Arial"/>
                <w:sz w:val="22"/>
              </w:rPr>
              <w:t>Actions identified through the gap analysis of recommendations made in published case reviews should be implemented.</w:t>
            </w:r>
          </w:p>
        </w:tc>
        <w:tc>
          <w:tcPr>
            <w:tcW w:w="3119" w:type="dxa"/>
          </w:tcPr>
          <w:p w14:paraId="6A0BD256" w14:textId="77777777" w:rsidR="009B2E43" w:rsidRPr="0031384A" w:rsidRDefault="009B2E43" w:rsidP="5247A891">
            <w:pPr>
              <w:rPr>
                <w:rFonts w:eastAsia="Calibri" w:cs="Arial"/>
                <w:sz w:val="22"/>
              </w:rPr>
            </w:pPr>
          </w:p>
        </w:tc>
        <w:tc>
          <w:tcPr>
            <w:tcW w:w="2977" w:type="dxa"/>
          </w:tcPr>
          <w:p w14:paraId="62912247" w14:textId="77777777" w:rsidR="009B2E43" w:rsidRPr="0031384A" w:rsidRDefault="009B2E43" w:rsidP="5247A891">
            <w:pPr>
              <w:rPr>
                <w:rFonts w:eastAsia="Calibri" w:cs="Arial"/>
                <w:sz w:val="22"/>
              </w:rPr>
            </w:pPr>
          </w:p>
        </w:tc>
        <w:tc>
          <w:tcPr>
            <w:tcW w:w="1829" w:type="dxa"/>
          </w:tcPr>
          <w:p w14:paraId="74DCF35A" w14:textId="77777777" w:rsidR="009B2E43" w:rsidRPr="0031384A" w:rsidRDefault="009B2E43" w:rsidP="5247A891">
            <w:pPr>
              <w:rPr>
                <w:rFonts w:eastAsia="Calibri" w:cs="Arial"/>
                <w:sz w:val="22"/>
              </w:rPr>
            </w:pPr>
          </w:p>
        </w:tc>
        <w:tc>
          <w:tcPr>
            <w:tcW w:w="1147" w:type="dxa"/>
          </w:tcPr>
          <w:p w14:paraId="5B70C3AC" w14:textId="77777777" w:rsidR="009B2E43" w:rsidRPr="0031384A" w:rsidRDefault="009B2E43" w:rsidP="5247A891">
            <w:pPr>
              <w:rPr>
                <w:rFonts w:eastAsia="Calibri" w:cs="Arial"/>
                <w:sz w:val="22"/>
              </w:rPr>
            </w:pPr>
          </w:p>
        </w:tc>
      </w:tr>
      <w:tr w:rsidR="009B2E43" w:rsidRPr="0031384A" w14:paraId="2CCCEB28" w14:textId="77777777" w:rsidTr="00F654F1">
        <w:tc>
          <w:tcPr>
            <w:tcW w:w="5098" w:type="dxa"/>
            <w:shd w:val="clear" w:color="auto" w:fill="F2F2F2" w:themeFill="background1" w:themeFillShade="F2"/>
          </w:tcPr>
          <w:p w14:paraId="3DC5ECCA" w14:textId="77777777" w:rsidR="009B2E43" w:rsidRPr="0031384A" w:rsidRDefault="009B2E43" w:rsidP="00CA774C">
            <w:pPr>
              <w:pStyle w:val="Heading2"/>
              <w:outlineLvl w:val="1"/>
            </w:pPr>
            <w:bookmarkStart w:id="72" w:name="_Toc90905982"/>
            <w:bookmarkStart w:id="73" w:name="_Toc90906127"/>
            <w:bookmarkStart w:id="74" w:name="_Toc90031624"/>
            <w:r w:rsidRPr="0031384A">
              <w:t>Visibility and accessibility</w:t>
            </w:r>
            <w:bookmarkEnd w:id="72"/>
            <w:bookmarkEnd w:id="73"/>
          </w:p>
          <w:p w14:paraId="6D19CE7B" w14:textId="77777777" w:rsidR="009B2E43" w:rsidRPr="0031384A" w:rsidRDefault="009B2E43" w:rsidP="005E0C36">
            <w:pPr>
              <w:rPr>
                <w:rFonts w:cs="Arial"/>
                <w:sz w:val="22"/>
              </w:rPr>
            </w:pPr>
          </w:p>
          <w:p w14:paraId="07BF7038" w14:textId="59B15DA9" w:rsidR="009B2E43" w:rsidRPr="0031384A" w:rsidRDefault="009B2E43" w:rsidP="5247A891">
            <w:pPr>
              <w:rPr>
                <w:rFonts w:cs="Arial"/>
                <w:sz w:val="22"/>
              </w:rPr>
            </w:pPr>
            <w:r w:rsidRPr="0031384A">
              <w:rPr>
                <w:rFonts w:cs="Arial"/>
                <w:sz w:val="22"/>
              </w:rPr>
              <w:t>Leaders should be visible and accessible to all workers to promote a culture of visible and accessible leadership.</w:t>
            </w:r>
            <w:bookmarkEnd w:id="74"/>
          </w:p>
        </w:tc>
        <w:tc>
          <w:tcPr>
            <w:tcW w:w="3119" w:type="dxa"/>
          </w:tcPr>
          <w:p w14:paraId="5640C93E" w14:textId="77777777" w:rsidR="009B2E43" w:rsidRPr="0031384A" w:rsidRDefault="009B2E43" w:rsidP="5247A891">
            <w:pPr>
              <w:rPr>
                <w:rFonts w:eastAsia="Calibri" w:cs="Arial"/>
                <w:sz w:val="22"/>
              </w:rPr>
            </w:pPr>
          </w:p>
        </w:tc>
        <w:tc>
          <w:tcPr>
            <w:tcW w:w="2977" w:type="dxa"/>
          </w:tcPr>
          <w:p w14:paraId="0E753282" w14:textId="77777777" w:rsidR="009B2E43" w:rsidRPr="0031384A" w:rsidRDefault="009B2E43" w:rsidP="5247A891">
            <w:pPr>
              <w:rPr>
                <w:rFonts w:eastAsia="Calibri" w:cs="Arial"/>
                <w:sz w:val="22"/>
              </w:rPr>
            </w:pPr>
          </w:p>
        </w:tc>
        <w:tc>
          <w:tcPr>
            <w:tcW w:w="1829" w:type="dxa"/>
          </w:tcPr>
          <w:p w14:paraId="411F56AE" w14:textId="77777777" w:rsidR="009B2E43" w:rsidRPr="0031384A" w:rsidRDefault="009B2E43" w:rsidP="5247A891">
            <w:pPr>
              <w:rPr>
                <w:rFonts w:eastAsia="Calibri" w:cs="Arial"/>
                <w:sz w:val="22"/>
              </w:rPr>
            </w:pPr>
          </w:p>
        </w:tc>
        <w:tc>
          <w:tcPr>
            <w:tcW w:w="1147" w:type="dxa"/>
          </w:tcPr>
          <w:p w14:paraId="6A4D268D" w14:textId="77777777" w:rsidR="009B2E43" w:rsidRPr="0031384A" w:rsidRDefault="009B2E43" w:rsidP="5247A891">
            <w:pPr>
              <w:rPr>
                <w:rFonts w:eastAsia="Calibri" w:cs="Arial"/>
                <w:sz w:val="22"/>
              </w:rPr>
            </w:pPr>
          </w:p>
        </w:tc>
      </w:tr>
      <w:tr w:rsidR="009B2E43" w:rsidRPr="0031384A" w14:paraId="1A5C5A06" w14:textId="77777777" w:rsidTr="00F654F1">
        <w:tc>
          <w:tcPr>
            <w:tcW w:w="5098" w:type="dxa"/>
            <w:shd w:val="clear" w:color="auto" w:fill="F2F2F2" w:themeFill="background1" w:themeFillShade="F2"/>
          </w:tcPr>
          <w:p w14:paraId="4C6621A4" w14:textId="77777777" w:rsidR="009B2E43" w:rsidRPr="0031384A" w:rsidRDefault="009B2E43" w:rsidP="00CA774C">
            <w:pPr>
              <w:pStyle w:val="Heading2"/>
              <w:outlineLvl w:val="1"/>
            </w:pPr>
            <w:bookmarkStart w:id="75" w:name="_Toc90905983"/>
            <w:bookmarkStart w:id="76" w:name="_Toc90906128"/>
            <w:bookmarkStart w:id="77" w:name="_Toc90031625"/>
            <w:r w:rsidRPr="0031384A">
              <w:t>Engagement</w:t>
            </w:r>
            <w:bookmarkEnd w:id="75"/>
            <w:bookmarkEnd w:id="76"/>
          </w:p>
          <w:p w14:paraId="05256EB1" w14:textId="77777777" w:rsidR="009B2E43" w:rsidRPr="0031384A" w:rsidRDefault="009B2E43" w:rsidP="005E0C36">
            <w:pPr>
              <w:rPr>
                <w:rFonts w:cs="Arial"/>
                <w:sz w:val="22"/>
              </w:rPr>
            </w:pPr>
          </w:p>
          <w:p w14:paraId="1D89062F" w14:textId="77777777" w:rsidR="009B2E43" w:rsidRPr="0031384A" w:rsidRDefault="009B2E43" w:rsidP="005E0C36">
            <w:pPr>
              <w:rPr>
                <w:rFonts w:cs="Arial"/>
                <w:sz w:val="22"/>
              </w:rPr>
            </w:pPr>
            <w:r w:rsidRPr="0031384A">
              <w:rPr>
                <w:rFonts w:cs="Arial"/>
                <w:sz w:val="22"/>
              </w:rPr>
              <w:t>A plan should be developed to ensure that workers can speak up effectively about the impact of integration as its local integrated care system continues to develop and mature.</w:t>
            </w:r>
          </w:p>
          <w:p w14:paraId="4BE5B208" w14:textId="77777777" w:rsidR="009B2E43" w:rsidRPr="0031384A" w:rsidRDefault="009B2E43" w:rsidP="005E0C36">
            <w:pPr>
              <w:rPr>
                <w:rFonts w:cs="Arial"/>
                <w:sz w:val="22"/>
              </w:rPr>
            </w:pPr>
          </w:p>
          <w:p w14:paraId="66613116" w14:textId="23DFEBAE" w:rsidR="009B2E43" w:rsidRPr="0031384A" w:rsidRDefault="009B2E43" w:rsidP="00C8303B">
            <w:pPr>
              <w:rPr>
                <w:rFonts w:cs="Arial"/>
                <w:b/>
                <w:sz w:val="22"/>
              </w:rPr>
            </w:pPr>
            <w:r w:rsidRPr="0031384A">
              <w:rPr>
                <w:rFonts w:cs="Arial"/>
                <w:sz w:val="22"/>
              </w:rPr>
              <w:t>The workforce should be informed as soon as is practicable following the decision regarding the future leadership of the organisation.</w:t>
            </w:r>
            <w:bookmarkEnd w:id="77"/>
          </w:p>
        </w:tc>
        <w:tc>
          <w:tcPr>
            <w:tcW w:w="3119" w:type="dxa"/>
          </w:tcPr>
          <w:p w14:paraId="39A4F3BB" w14:textId="77777777" w:rsidR="009B2E43" w:rsidRPr="0031384A" w:rsidRDefault="009B2E43" w:rsidP="5247A891">
            <w:pPr>
              <w:rPr>
                <w:rFonts w:eastAsia="Calibri" w:cs="Arial"/>
                <w:sz w:val="22"/>
              </w:rPr>
            </w:pPr>
          </w:p>
        </w:tc>
        <w:tc>
          <w:tcPr>
            <w:tcW w:w="2977" w:type="dxa"/>
          </w:tcPr>
          <w:p w14:paraId="08272581" w14:textId="77777777" w:rsidR="009B2E43" w:rsidRPr="0031384A" w:rsidRDefault="009B2E43" w:rsidP="5247A891">
            <w:pPr>
              <w:rPr>
                <w:rFonts w:eastAsia="Calibri" w:cs="Arial"/>
                <w:sz w:val="22"/>
              </w:rPr>
            </w:pPr>
          </w:p>
        </w:tc>
        <w:tc>
          <w:tcPr>
            <w:tcW w:w="1829" w:type="dxa"/>
          </w:tcPr>
          <w:p w14:paraId="60D66DCC" w14:textId="77777777" w:rsidR="009B2E43" w:rsidRPr="0031384A" w:rsidRDefault="009B2E43" w:rsidP="5247A891">
            <w:pPr>
              <w:rPr>
                <w:rFonts w:eastAsia="Calibri" w:cs="Arial"/>
                <w:sz w:val="22"/>
              </w:rPr>
            </w:pPr>
          </w:p>
        </w:tc>
        <w:tc>
          <w:tcPr>
            <w:tcW w:w="1147" w:type="dxa"/>
          </w:tcPr>
          <w:p w14:paraId="1D3F2432" w14:textId="77777777" w:rsidR="009B2E43" w:rsidRPr="0031384A" w:rsidRDefault="009B2E43" w:rsidP="5247A891">
            <w:pPr>
              <w:rPr>
                <w:rFonts w:eastAsia="Calibri" w:cs="Arial"/>
                <w:sz w:val="22"/>
              </w:rPr>
            </w:pPr>
          </w:p>
        </w:tc>
      </w:tr>
      <w:tr w:rsidR="009B2E43" w:rsidRPr="0031384A" w14:paraId="1B6160F5" w14:textId="77777777" w:rsidTr="00F654F1">
        <w:tc>
          <w:tcPr>
            <w:tcW w:w="5098" w:type="dxa"/>
            <w:shd w:val="clear" w:color="auto" w:fill="F2F2F2" w:themeFill="background1" w:themeFillShade="F2"/>
          </w:tcPr>
          <w:p w14:paraId="63F65312" w14:textId="77777777" w:rsidR="009B2E43" w:rsidRPr="006319D0" w:rsidRDefault="009B2E43" w:rsidP="006319D0">
            <w:pPr>
              <w:rPr>
                <w:b/>
                <w:bCs/>
                <w:color w:val="0E8A38" w:themeColor="text2"/>
                <w:sz w:val="22"/>
              </w:rPr>
            </w:pPr>
            <w:bookmarkStart w:id="78" w:name="_Toc90905984"/>
            <w:bookmarkStart w:id="79" w:name="_Toc90906129"/>
            <w:bookmarkStart w:id="80" w:name="_Toc90031626"/>
            <w:r w:rsidRPr="006319D0">
              <w:rPr>
                <w:b/>
                <w:bCs/>
                <w:color w:val="0E8A38" w:themeColor="text2"/>
                <w:sz w:val="22"/>
              </w:rPr>
              <w:t>Governance arrangements</w:t>
            </w:r>
            <w:bookmarkEnd w:id="78"/>
            <w:bookmarkEnd w:id="79"/>
          </w:p>
          <w:p w14:paraId="7BDDD0E6" w14:textId="77777777" w:rsidR="009B2E43" w:rsidRPr="006319D0" w:rsidRDefault="009B2E43" w:rsidP="006319D0">
            <w:pPr>
              <w:rPr>
                <w:rFonts w:cs="Arial"/>
                <w:sz w:val="22"/>
              </w:rPr>
            </w:pPr>
          </w:p>
          <w:p w14:paraId="3712F9F5" w14:textId="07B0697F" w:rsidR="009B2E43" w:rsidRPr="0031384A" w:rsidRDefault="009B2E43" w:rsidP="006319D0">
            <w:pPr>
              <w:rPr>
                <w:rFonts w:cs="Arial"/>
              </w:rPr>
            </w:pPr>
            <w:r w:rsidRPr="006319D0">
              <w:rPr>
                <w:rFonts w:cs="Arial"/>
                <w:sz w:val="22"/>
              </w:rPr>
              <w:t>The effectiveness of governance arrangements should be improved, including the communication of information from ‘board to ward’ and back.</w:t>
            </w:r>
            <w:bookmarkEnd w:id="80"/>
          </w:p>
        </w:tc>
        <w:tc>
          <w:tcPr>
            <w:tcW w:w="3119" w:type="dxa"/>
          </w:tcPr>
          <w:p w14:paraId="6E0BF462" w14:textId="77777777" w:rsidR="009B2E43" w:rsidRPr="0031384A" w:rsidRDefault="009B2E43" w:rsidP="00672907">
            <w:pPr>
              <w:keepNext/>
              <w:widowControl w:val="0"/>
              <w:rPr>
                <w:rFonts w:eastAsia="Calibri" w:cs="Arial"/>
                <w:sz w:val="22"/>
              </w:rPr>
            </w:pPr>
          </w:p>
        </w:tc>
        <w:tc>
          <w:tcPr>
            <w:tcW w:w="2977" w:type="dxa"/>
          </w:tcPr>
          <w:p w14:paraId="5BAB3F46" w14:textId="77777777" w:rsidR="009B2E43" w:rsidRPr="0031384A" w:rsidRDefault="009B2E43" w:rsidP="00672907">
            <w:pPr>
              <w:keepNext/>
              <w:widowControl w:val="0"/>
              <w:rPr>
                <w:rFonts w:eastAsia="Calibri" w:cs="Arial"/>
                <w:sz w:val="22"/>
              </w:rPr>
            </w:pPr>
          </w:p>
        </w:tc>
        <w:tc>
          <w:tcPr>
            <w:tcW w:w="1829" w:type="dxa"/>
          </w:tcPr>
          <w:p w14:paraId="53A73B04" w14:textId="77777777" w:rsidR="009B2E43" w:rsidRPr="0031384A" w:rsidRDefault="009B2E43" w:rsidP="00672907">
            <w:pPr>
              <w:keepNext/>
              <w:widowControl w:val="0"/>
              <w:rPr>
                <w:rFonts w:eastAsia="Calibri" w:cs="Arial"/>
                <w:sz w:val="22"/>
              </w:rPr>
            </w:pPr>
          </w:p>
        </w:tc>
        <w:tc>
          <w:tcPr>
            <w:tcW w:w="1147" w:type="dxa"/>
          </w:tcPr>
          <w:p w14:paraId="518FF972" w14:textId="77777777" w:rsidR="009B2E43" w:rsidRPr="0031384A" w:rsidRDefault="009B2E43" w:rsidP="00672907">
            <w:pPr>
              <w:keepNext/>
              <w:widowControl w:val="0"/>
              <w:rPr>
                <w:rFonts w:eastAsia="Calibri" w:cs="Arial"/>
                <w:sz w:val="22"/>
              </w:rPr>
            </w:pPr>
          </w:p>
        </w:tc>
      </w:tr>
    </w:tbl>
    <w:p w14:paraId="5E80E15D" w14:textId="77777777" w:rsidR="00672907" w:rsidRDefault="00672907" w:rsidP="00CA774C">
      <w:pPr>
        <w:pStyle w:val="Heading2"/>
        <w:sectPr w:rsidR="00672907" w:rsidSect="00831BDB">
          <w:headerReference w:type="default" r:id="rId15"/>
          <w:pgSz w:w="16838" w:h="11906" w:orient="landscape"/>
          <w:pgMar w:top="1440" w:right="1440" w:bottom="1440" w:left="1440" w:header="708" w:footer="708" w:gutter="0"/>
          <w:cols w:space="708"/>
          <w:docGrid w:linePitch="360"/>
        </w:sectPr>
      </w:pPr>
      <w:bookmarkStart w:id="81" w:name="_Toc90031627"/>
    </w:p>
    <w:tbl>
      <w:tblPr>
        <w:tblStyle w:val="TableGrid1"/>
        <w:tblW w:w="14170" w:type="dxa"/>
        <w:tblLayout w:type="fixed"/>
        <w:tblLook w:val="04A0" w:firstRow="1" w:lastRow="0" w:firstColumn="1" w:lastColumn="0" w:noHBand="0" w:noVBand="1"/>
      </w:tblPr>
      <w:tblGrid>
        <w:gridCol w:w="5098"/>
        <w:gridCol w:w="3119"/>
        <w:gridCol w:w="3260"/>
        <w:gridCol w:w="1546"/>
        <w:gridCol w:w="1147"/>
      </w:tblGrid>
      <w:tr w:rsidR="009B2E43" w:rsidRPr="0031384A" w14:paraId="44F0C962" w14:textId="77777777" w:rsidTr="00E85F41">
        <w:tc>
          <w:tcPr>
            <w:tcW w:w="5098" w:type="dxa"/>
            <w:shd w:val="clear" w:color="auto" w:fill="F2F2F2" w:themeFill="background1" w:themeFillShade="F2"/>
          </w:tcPr>
          <w:p w14:paraId="01D168FB" w14:textId="223ECE66" w:rsidR="009B2E43" w:rsidRPr="0031384A" w:rsidRDefault="009B2E43" w:rsidP="00CA774C">
            <w:pPr>
              <w:pStyle w:val="Heading2"/>
              <w:outlineLvl w:val="1"/>
            </w:pPr>
            <w:bookmarkStart w:id="82" w:name="_Toc90905985"/>
            <w:bookmarkStart w:id="83" w:name="_Toc90906130"/>
            <w:r w:rsidRPr="0031384A">
              <w:lastRenderedPageBreak/>
              <w:t>Conflicts of interest</w:t>
            </w:r>
            <w:bookmarkEnd w:id="82"/>
            <w:bookmarkEnd w:id="83"/>
          </w:p>
          <w:p w14:paraId="59B50DB8" w14:textId="77777777" w:rsidR="009B2E43" w:rsidRPr="0031384A" w:rsidRDefault="009B2E43" w:rsidP="00672907">
            <w:pPr>
              <w:keepNext/>
              <w:widowControl w:val="0"/>
              <w:rPr>
                <w:rFonts w:cs="Arial"/>
                <w:sz w:val="22"/>
              </w:rPr>
            </w:pPr>
          </w:p>
          <w:p w14:paraId="1BF52E15" w14:textId="77777777" w:rsidR="009B2E43" w:rsidRPr="0031384A" w:rsidRDefault="009B2E43" w:rsidP="00672907">
            <w:pPr>
              <w:keepNext/>
              <w:widowControl w:val="0"/>
              <w:rPr>
                <w:rFonts w:cs="Arial"/>
                <w:sz w:val="22"/>
              </w:rPr>
            </w:pPr>
            <w:r w:rsidRPr="0031384A">
              <w:rPr>
                <w:rFonts w:cs="Arial"/>
                <w:sz w:val="22"/>
              </w:rPr>
              <w:t>NHS E/I’s national guidance relating to the managing of conflicts of interest should be implemented.</w:t>
            </w:r>
          </w:p>
          <w:p w14:paraId="151BF778" w14:textId="77777777" w:rsidR="009B2E43" w:rsidRPr="0031384A" w:rsidRDefault="009B2E43" w:rsidP="00672907">
            <w:pPr>
              <w:keepNext/>
              <w:widowControl w:val="0"/>
              <w:rPr>
                <w:rFonts w:cs="Arial"/>
                <w:sz w:val="22"/>
              </w:rPr>
            </w:pPr>
          </w:p>
          <w:p w14:paraId="726F983A" w14:textId="77777777" w:rsidR="009B2E43" w:rsidRPr="0031384A" w:rsidRDefault="009B2E43" w:rsidP="00672907">
            <w:pPr>
              <w:keepNext/>
              <w:widowControl w:val="0"/>
              <w:rPr>
                <w:rFonts w:cs="Arial"/>
                <w:b/>
                <w:sz w:val="22"/>
              </w:rPr>
            </w:pPr>
            <w:r w:rsidRPr="0031384A">
              <w:rPr>
                <w:rFonts w:cs="Arial"/>
                <w:sz w:val="22"/>
              </w:rPr>
              <w:t xml:space="preserve">The organisation’s conflicts of interest policy should be implemented so that </w:t>
            </w:r>
            <w:r w:rsidR="00A75711" w:rsidRPr="0031384A">
              <w:rPr>
                <w:rFonts w:cs="Arial"/>
                <w:sz w:val="22"/>
              </w:rPr>
              <w:t>workers</w:t>
            </w:r>
            <w:r w:rsidRPr="0031384A">
              <w:rPr>
                <w:rFonts w:cs="Arial"/>
                <w:sz w:val="22"/>
              </w:rPr>
              <w:t xml:space="preserve"> are aware of its purpose and all relevant </w:t>
            </w:r>
            <w:r w:rsidR="00A75711" w:rsidRPr="0031384A">
              <w:rPr>
                <w:rFonts w:cs="Arial"/>
                <w:sz w:val="22"/>
              </w:rPr>
              <w:t>workers</w:t>
            </w:r>
            <w:r w:rsidRPr="0031384A">
              <w:rPr>
                <w:rFonts w:cs="Arial"/>
                <w:sz w:val="22"/>
              </w:rPr>
              <w:t xml:space="preserve"> make appropriate declarations, including those relating to conflicting loyalty interests.</w:t>
            </w:r>
            <w:bookmarkEnd w:id="81"/>
          </w:p>
        </w:tc>
        <w:tc>
          <w:tcPr>
            <w:tcW w:w="3119" w:type="dxa"/>
          </w:tcPr>
          <w:p w14:paraId="3E2FEB5F" w14:textId="77777777" w:rsidR="009B2E43" w:rsidRPr="0031384A" w:rsidRDefault="009B2E43" w:rsidP="00672907">
            <w:pPr>
              <w:keepNext/>
              <w:widowControl w:val="0"/>
              <w:rPr>
                <w:rFonts w:eastAsia="Calibri" w:cs="Arial"/>
                <w:sz w:val="22"/>
              </w:rPr>
            </w:pPr>
          </w:p>
        </w:tc>
        <w:tc>
          <w:tcPr>
            <w:tcW w:w="3260" w:type="dxa"/>
          </w:tcPr>
          <w:p w14:paraId="4F65708E" w14:textId="77777777" w:rsidR="009B2E43" w:rsidRPr="0031384A" w:rsidRDefault="009B2E43" w:rsidP="00672907">
            <w:pPr>
              <w:keepNext/>
              <w:widowControl w:val="0"/>
              <w:rPr>
                <w:rFonts w:eastAsia="Calibri" w:cs="Arial"/>
                <w:sz w:val="22"/>
              </w:rPr>
            </w:pPr>
          </w:p>
        </w:tc>
        <w:tc>
          <w:tcPr>
            <w:tcW w:w="1546" w:type="dxa"/>
          </w:tcPr>
          <w:p w14:paraId="019BD7A6" w14:textId="77777777" w:rsidR="009B2E43" w:rsidRPr="0031384A" w:rsidRDefault="009B2E43" w:rsidP="00672907">
            <w:pPr>
              <w:keepNext/>
              <w:widowControl w:val="0"/>
              <w:rPr>
                <w:rFonts w:eastAsia="Calibri" w:cs="Arial"/>
                <w:sz w:val="22"/>
              </w:rPr>
            </w:pPr>
          </w:p>
        </w:tc>
        <w:tc>
          <w:tcPr>
            <w:tcW w:w="1147" w:type="dxa"/>
          </w:tcPr>
          <w:p w14:paraId="52ACA989" w14:textId="77777777" w:rsidR="009B2E43" w:rsidRPr="0031384A" w:rsidRDefault="009B2E43" w:rsidP="00672907">
            <w:pPr>
              <w:keepNext/>
              <w:widowControl w:val="0"/>
              <w:rPr>
                <w:rFonts w:eastAsia="Calibri" w:cs="Arial"/>
                <w:sz w:val="22"/>
              </w:rPr>
            </w:pPr>
          </w:p>
        </w:tc>
      </w:tr>
      <w:tr w:rsidR="009B2E43" w:rsidRPr="0031384A" w14:paraId="511A7CBE" w14:textId="77777777" w:rsidTr="00E85F41">
        <w:tc>
          <w:tcPr>
            <w:tcW w:w="5098" w:type="dxa"/>
            <w:shd w:val="clear" w:color="auto" w:fill="F2F2F2" w:themeFill="background1" w:themeFillShade="F2"/>
          </w:tcPr>
          <w:p w14:paraId="646A8705" w14:textId="261FDAE5" w:rsidR="009B2E43" w:rsidRPr="006319D0" w:rsidRDefault="009B2E43" w:rsidP="006319D0">
            <w:pPr>
              <w:rPr>
                <w:b/>
                <w:bCs/>
                <w:color w:val="0E8A38" w:themeColor="text2"/>
                <w:sz w:val="22"/>
              </w:rPr>
            </w:pPr>
            <w:bookmarkStart w:id="84" w:name="_Toc90905986"/>
            <w:bookmarkStart w:id="85" w:name="_Toc90906131"/>
            <w:r w:rsidRPr="006319D0">
              <w:rPr>
                <w:b/>
                <w:bCs/>
                <w:color w:val="0E8A38" w:themeColor="text2"/>
                <w:sz w:val="22"/>
              </w:rPr>
              <w:t>Investigations</w:t>
            </w:r>
            <w:bookmarkEnd w:id="84"/>
            <w:bookmarkEnd w:id="85"/>
          </w:p>
          <w:p w14:paraId="52D06DB8" w14:textId="77777777" w:rsidR="009B2E43" w:rsidRPr="006319D0" w:rsidRDefault="009B2E43" w:rsidP="006319D0">
            <w:pPr>
              <w:rPr>
                <w:rFonts w:cs="Arial"/>
                <w:sz w:val="22"/>
              </w:rPr>
            </w:pPr>
          </w:p>
          <w:p w14:paraId="670A73BB" w14:textId="77777777" w:rsidR="009B2E43" w:rsidRPr="006319D0" w:rsidRDefault="009B2E43" w:rsidP="006319D0">
            <w:pPr>
              <w:rPr>
                <w:rFonts w:cs="Arial"/>
                <w:sz w:val="22"/>
              </w:rPr>
            </w:pPr>
            <w:r w:rsidRPr="006319D0">
              <w:rPr>
                <w:rFonts w:cs="Arial"/>
                <w:sz w:val="22"/>
              </w:rPr>
              <w:t>Workers who speak up should have input into the terms of reference for any subsequent investigations.</w:t>
            </w:r>
          </w:p>
          <w:p w14:paraId="335B8C78" w14:textId="77777777" w:rsidR="009B2E43" w:rsidRPr="006319D0" w:rsidRDefault="009B2E43" w:rsidP="006319D0">
            <w:pPr>
              <w:rPr>
                <w:rFonts w:cs="Arial"/>
                <w:sz w:val="22"/>
              </w:rPr>
            </w:pPr>
          </w:p>
          <w:p w14:paraId="7A54B0C1" w14:textId="77777777" w:rsidR="009B2E43" w:rsidRPr="006319D0" w:rsidRDefault="009B2E43" w:rsidP="006319D0">
            <w:pPr>
              <w:rPr>
                <w:rFonts w:cs="Arial"/>
                <w:sz w:val="22"/>
              </w:rPr>
            </w:pPr>
            <w:r w:rsidRPr="006319D0">
              <w:rPr>
                <w:rFonts w:cs="Arial"/>
                <w:sz w:val="22"/>
              </w:rPr>
              <w:t>The response to workers speaking up, including the investigations of those issues and the implementation of learning resulting from them, should be undertaken by suitably independent and trained investigators.</w:t>
            </w:r>
          </w:p>
          <w:p w14:paraId="657F48C1" w14:textId="77777777" w:rsidR="009B2E43" w:rsidRPr="006319D0" w:rsidRDefault="009B2E43" w:rsidP="006319D0">
            <w:pPr>
              <w:rPr>
                <w:rFonts w:cs="Arial"/>
                <w:sz w:val="22"/>
              </w:rPr>
            </w:pPr>
          </w:p>
          <w:p w14:paraId="07D00E62" w14:textId="77777777" w:rsidR="009B2E43" w:rsidRPr="006319D0" w:rsidRDefault="009B2E43" w:rsidP="006319D0">
            <w:pPr>
              <w:rPr>
                <w:rFonts w:eastAsia="Times New Roman" w:cs="Arial"/>
                <w:sz w:val="22"/>
              </w:rPr>
            </w:pPr>
            <w:r w:rsidRPr="006319D0">
              <w:rPr>
                <w:rFonts w:eastAsia="Times New Roman" w:cs="Arial"/>
                <w:sz w:val="22"/>
              </w:rPr>
              <w:t>Reasonable consideration should be given to workers’ objections relating to the perceived independence of investigators.</w:t>
            </w:r>
          </w:p>
          <w:p w14:paraId="10319E9B" w14:textId="5A9E592E" w:rsidR="00E25D25" w:rsidRPr="006319D0" w:rsidRDefault="00E25D25" w:rsidP="006319D0">
            <w:pPr>
              <w:rPr>
                <w:rFonts w:eastAsia="Times New Roman" w:cs="Arial"/>
                <w:sz w:val="22"/>
              </w:rPr>
            </w:pPr>
            <w:r w:rsidRPr="006319D0">
              <w:rPr>
                <w:rFonts w:eastAsia="Times New Roman" w:cs="Arial"/>
                <w:sz w:val="22"/>
              </w:rPr>
              <w:t xml:space="preserve"> </w:t>
            </w:r>
          </w:p>
          <w:p w14:paraId="1E0DE097" w14:textId="5F16FE96" w:rsidR="00E25D25" w:rsidRPr="006319D0" w:rsidRDefault="00E25D25" w:rsidP="006319D0">
            <w:pPr>
              <w:rPr>
                <w:rFonts w:eastAsia="Times New Roman" w:cs="Arial"/>
                <w:sz w:val="22"/>
              </w:rPr>
            </w:pPr>
            <w:r w:rsidRPr="006319D0">
              <w:rPr>
                <w:rFonts w:eastAsia="Times New Roman" w:cs="Arial"/>
                <w:sz w:val="22"/>
              </w:rPr>
              <w:t>A clear rationale for any decisions regarding investigators should be given to workers in response to any objections and there should be transparency about the way potential conflicts of interest relating to investigations are managed.</w:t>
            </w:r>
          </w:p>
          <w:p w14:paraId="34DB7520" w14:textId="77777777" w:rsidR="009B2E43" w:rsidRPr="006319D0" w:rsidRDefault="009B2E43" w:rsidP="006319D0">
            <w:pPr>
              <w:rPr>
                <w:rFonts w:eastAsia="Times New Roman" w:cs="Arial"/>
                <w:sz w:val="22"/>
              </w:rPr>
            </w:pPr>
          </w:p>
          <w:p w14:paraId="2D7AE93E" w14:textId="77777777" w:rsidR="009B2E43" w:rsidRPr="006319D0" w:rsidRDefault="009B2E43" w:rsidP="006319D0">
            <w:pPr>
              <w:rPr>
                <w:rFonts w:cs="Arial"/>
                <w:sz w:val="22"/>
              </w:rPr>
            </w:pPr>
            <w:r w:rsidRPr="006319D0">
              <w:rPr>
                <w:rFonts w:cs="Arial"/>
                <w:sz w:val="22"/>
              </w:rPr>
              <w:t>Speaking up cases should be investigated within reasonable timeframes and without undue delay.</w:t>
            </w:r>
          </w:p>
          <w:p w14:paraId="5FD7F359" w14:textId="77777777" w:rsidR="00E25D25" w:rsidRPr="006319D0" w:rsidRDefault="00E25D25" w:rsidP="006319D0">
            <w:pPr>
              <w:rPr>
                <w:rFonts w:cs="Arial"/>
                <w:sz w:val="22"/>
              </w:rPr>
            </w:pPr>
          </w:p>
          <w:p w14:paraId="5184D38B" w14:textId="696B293E" w:rsidR="009B2E43" w:rsidRPr="006319D0" w:rsidRDefault="009B2E43" w:rsidP="006319D0">
            <w:pPr>
              <w:rPr>
                <w:rFonts w:cs="Arial"/>
                <w:b/>
                <w:sz w:val="22"/>
              </w:rPr>
            </w:pPr>
            <w:r w:rsidRPr="006319D0">
              <w:rPr>
                <w:rFonts w:cs="Arial"/>
                <w:sz w:val="22"/>
              </w:rPr>
              <w:t>Where investigations are undertaken in response to speaking up issues raised by workers, feedback should be provided to those individuals regarding the progress of said investigations.</w:t>
            </w:r>
          </w:p>
        </w:tc>
        <w:tc>
          <w:tcPr>
            <w:tcW w:w="3119" w:type="dxa"/>
          </w:tcPr>
          <w:p w14:paraId="6FB4655E" w14:textId="77777777" w:rsidR="009B2E43" w:rsidRPr="0031384A" w:rsidRDefault="009B2E43" w:rsidP="00672907">
            <w:pPr>
              <w:keepNext/>
              <w:widowControl w:val="0"/>
              <w:rPr>
                <w:rFonts w:eastAsia="Calibri" w:cs="Arial"/>
                <w:sz w:val="22"/>
              </w:rPr>
            </w:pPr>
          </w:p>
        </w:tc>
        <w:tc>
          <w:tcPr>
            <w:tcW w:w="3260" w:type="dxa"/>
          </w:tcPr>
          <w:p w14:paraId="76A1BA3C" w14:textId="77777777" w:rsidR="009B2E43" w:rsidRPr="0031384A" w:rsidRDefault="009B2E43" w:rsidP="00672907">
            <w:pPr>
              <w:keepNext/>
              <w:widowControl w:val="0"/>
              <w:rPr>
                <w:rFonts w:eastAsia="Calibri" w:cs="Arial"/>
                <w:sz w:val="22"/>
              </w:rPr>
            </w:pPr>
          </w:p>
        </w:tc>
        <w:tc>
          <w:tcPr>
            <w:tcW w:w="1546" w:type="dxa"/>
          </w:tcPr>
          <w:p w14:paraId="35729000" w14:textId="77777777" w:rsidR="009B2E43" w:rsidRPr="0031384A" w:rsidRDefault="009B2E43" w:rsidP="00672907">
            <w:pPr>
              <w:keepNext/>
              <w:widowControl w:val="0"/>
              <w:rPr>
                <w:rFonts w:eastAsia="Calibri" w:cs="Arial"/>
                <w:sz w:val="22"/>
              </w:rPr>
            </w:pPr>
          </w:p>
        </w:tc>
        <w:tc>
          <w:tcPr>
            <w:tcW w:w="1147" w:type="dxa"/>
          </w:tcPr>
          <w:p w14:paraId="070B21C0" w14:textId="77777777" w:rsidR="009B2E43" w:rsidRPr="0031384A" w:rsidRDefault="009B2E43" w:rsidP="00672907">
            <w:pPr>
              <w:keepNext/>
              <w:widowControl w:val="0"/>
              <w:rPr>
                <w:rFonts w:eastAsia="Calibri" w:cs="Arial"/>
                <w:sz w:val="22"/>
              </w:rPr>
            </w:pPr>
          </w:p>
        </w:tc>
      </w:tr>
      <w:tr w:rsidR="009B2E43" w:rsidRPr="006319D0" w14:paraId="7666322D" w14:textId="77777777" w:rsidTr="00E85F41">
        <w:tc>
          <w:tcPr>
            <w:tcW w:w="5098" w:type="dxa"/>
            <w:shd w:val="clear" w:color="auto" w:fill="F2F2F2" w:themeFill="background1" w:themeFillShade="F2"/>
          </w:tcPr>
          <w:p w14:paraId="5BB1B324" w14:textId="0DA39B3B" w:rsidR="002621D9" w:rsidRPr="006319D0" w:rsidRDefault="002621D9" w:rsidP="006319D0">
            <w:pPr>
              <w:rPr>
                <w:b/>
                <w:bCs/>
                <w:color w:val="0E8A38" w:themeColor="text2"/>
                <w:sz w:val="22"/>
              </w:rPr>
            </w:pPr>
            <w:bookmarkStart w:id="86" w:name="_Toc90905987"/>
            <w:bookmarkStart w:id="87" w:name="_Toc90906132"/>
            <w:r w:rsidRPr="006319D0">
              <w:rPr>
                <w:b/>
                <w:bCs/>
                <w:color w:val="0E8A38" w:themeColor="text2"/>
                <w:sz w:val="22"/>
              </w:rPr>
              <w:t>Action/Follow up</w:t>
            </w:r>
            <w:bookmarkEnd w:id="86"/>
            <w:bookmarkEnd w:id="87"/>
          </w:p>
          <w:p w14:paraId="12690A77" w14:textId="77777777" w:rsidR="002621D9" w:rsidRPr="006319D0" w:rsidRDefault="002621D9" w:rsidP="006319D0">
            <w:pPr>
              <w:rPr>
                <w:rFonts w:cs="Arial"/>
                <w:sz w:val="22"/>
              </w:rPr>
            </w:pPr>
          </w:p>
          <w:p w14:paraId="1751E743" w14:textId="7B04DEB1" w:rsidR="009B2E43" w:rsidRPr="006319D0" w:rsidRDefault="009B2E43" w:rsidP="006319D0">
            <w:pPr>
              <w:rPr>
                <w:rFonts w:cs="Arial"/>
                <w:sz w:val="22"/>
              </w:rPr>
            </w:pPr>
            <w:r w:rsidRPr="006319D0">
              <w:rPr>
                <w:rFonts w:cs="Arial"/>
                <w:sz w:val="22"/>
              </w:rPr>
              <w:t>Recommendations from a cultural review should be implemented</w:t>
            </w:r>
            <w:r w:rsidR="002621D9" w:rsidRPr="006319D0">
              <w:rPr>
                <w:rFonts w:cs="Arial"/>
                <w:sz w:val="22"/>
              </w:rPr>
              <w:t>.</w:t>
            </w:r>
          </w:p>
        </w:tc>
        <w:tc>
          <w:tcPr>
            <w:tcW w:w="3119" w:type="dxa"/>
          </w:tcPr>
          <w:p w14:paraId="3C21C60A" w14:textId="77777777" w:rsidR="009B2E43" w:rsidRPr="006319D0" w:rsidRDefault="009B2E43" w:rsidP="006319D0">
            <w:pPr>
              <w:rPr>
                <w:rFonts w:eastAsia="Calibri" w:cs="Arial"/>
                <w:sz w:val="22"/>
              </w:rPr>
            </w:pPr>
          </w:p>
        </w:tc>
        <w:tc>
          <w:tcPr>
            <w:tcW w:w="3260" w:type="dxa"/>
          </w:tcPr>
          <w:p w14:paraId="76B73928" w14:textId="77777777" w:rsidR="009B2E43" w:rsidRPr="006319D0" w:rsidRDefault="009B2E43" w:rsidP="006319D0">
            <w:pPr>
              <w:rPr>
                <w:rFonts w:eastAsia="Calibri" w:cs="Arial"/>
                <w:sz w:val="22"/>
              </w:rPr>
            </w:pPr>
          </w:p>
        </w:tc>
        <w:tc>
          <w:tcPr>
            <w:tcW w:w="1546" w:type="dxa"/>
          </w:tcPr>
          <w:p w14:paraId="6E18B754" w14:textId="77777777" w:rsidR="009B2E43" w:rsidRPr="006319D0" w:rsidRDefault="009B2E43" w:rsidP="006319D0">
            <w:pPr>
              <w:rPr>
                <w:rFonts w:eastAsia="Calibri" w:cs="Arial"/>
                <w:sz w:val="22"/>
              </w:rPr>
            </w:pPr>
          </w:p>
        </w:tc>
        <w:tc>
          <w:tcPr>
            <w:tcW w:w="1147" w:type="dxa"/>
          </w:tcPr>
          <w:p w14:paraId="453DFED6" w14:textId="77777777" w:rsidR="009B2E43" w:rsidRPr="006319D0" w:rsidRDefault="009B2E43" w:rsidP="006319D0">
            <w:pPr>
              <w:rPr>
                <w:rFonts w:eastAsia="Calibri" w:cs="Arial"/>
                <w:sz w:val="22"/>
              </w:rPr>
            </w:pPr>
          </w:p>
        </w:tc>
      </w:tr>
      <w:tr w:rsidR="009B2E43" w:rsidRPr="006319D0" w14:paraId="188DE370" w14:textId="77777777" w:rsidTr="00E85F41">
        <w:tc>
          <w:tcPr>
            <w:tcW w:w="5098" w:type="dxa"/>
            <w:shd w:val="clear" w:color="auto" w:fill="F2F2F2" w:themeFill="background1" w:themeFillShade="F2"/>
          </w:tcPr>
          <w:p w14:paraId="499FF1C4" w14:textId="77777777" w:rsidR="009B2E43" w:rsidRPr="006319D0" w:rsidRDefault="009B2E43" w:rsidP="006319D0">
            <w:pPr>
              <w:rPr>
                <w:b/>
                <w:bCs/>
                <w:sz w:val="22"/>
              </w:rPr>
            </w:pPr>
            <w:bookmarkStart w:id="88" w:name="_Toc90905988"/>
            <w:bookmarkStart w:id="89" w:name="_Toc90906133"/>
            <w:bookmarkStart w:id="90" w:name="_Toc90031628"/>
            <w:r w:rsidRPr="006319D0">
              <w:rPr>
                <w:b/>
                <w:bCs/>
                <w:color w:val="0E8A38" w:themeColor="text2"/>
                <w:sz w:val="22"/>
              </w:rPr>
              <w:t>Policy - Speaking Up</w:t>
            </w:r>
            <w:bookmarkEnd w:id="88"/>
            <w:bookmarkEnd w:id="89"/>
            <w:r w:rsidRPr="006319D0">
              <w:rPr>
                <w:b/>
                <w:bCs/>
                <w:color w:val="0E8A38" w:themeColor="text2"/>
                <w:sz w:val="22"/>
              </w:rPr>
              <w:t xml:space="preserve"> </w:t>
            </w:r>
          </w:p>
          <w:p w14:paraId="180ACB24" w14:textId="77777777" w:rsidR="009B2E43" w:rsidRPr="006319D0" w:rsidRDefault="009B2E43" w:rsidP="006319D0">
            <w:pPr>
              <w:rPr>
                <w:rFonts w:cs="Arial"/>
                <w:sz w:val="22"/>
              </w:rPr>
            </w:pPr>
          </w:p>
          <w:p w14:paraId="711FDCDF" w14:textId="77777777" w:rsidR="009B2E43" w:rsidRPr="006319D0" w:rsidRDefault="009B2E43" w:rsidP="006319D0">
            <w:pPr>
              <w:rPr>
                <w:rFonts w:cs="Arial"/>
                <w:sz w:val="22"/>
              </w:rPr>
            </w:pPr>
            <w:r w:rsidRPr="006319D0">
              <w:rPr>
                <w:rFonts w:cs="Arial"/>
                <w:sz w:val="22"/>
              </w:rPr>
              <w:t>The speaking up policy should be in accordance with good practice, meet the minimum standards set out in the NHS Improvement speaking up policy for the NHS and reflect guidance on reviewing speaking up policies from the National Guardian’s Office.</w:t>
            </w:r>
          </w:p>
          <w:p w14:paraId="6E694B13" w14:textId="77777777" w:rsidR="009B2E43" w:rsidRPr="006319D0" w:rsidRDefault="009B2E43" w:rsidP="006319D0">
            <w:pPr>
              <w:rPr>
                <w:rFonts w:cs="Arial"/>
                <w:sz w:val="22"/>
              </w:rPr>
            </w:pPr>
          </w:p>
          <w:p w14:paraId="286A7FB8" w14:textId="0A9A5F0E" w:rsidR="009B2E43" w:rsidRPr="006319D0" w:rsidRDefault="009B2E43" w:rsidP="006319D0">
            <w:pPr>
              <w:rPr>
                <w:rFonts w:cs="Arial"/>
                <w:b/>
                <w:sz w:val="22"/>
              </w:rPr>
            </w:pPr>
            <w:r w:rsidRPr="006319D0">
              <w:rPr>
                <w:rFonts w:cs="Arial"/>
                <w:sz w:val="22"/>
              </w:rPr>
              <w:t>New and existing workers should be made aware of the speak up policy.</w:t>
            </w:r>
            <w:bookmarkEnd w:id="90"/>
          </w:p>
        </w:tc>
        <w:tc>
          <w:tcPr>
            <w:tcW w:w="3119" w:type="dxa"/>
          </w:tcPr>
          <w:p w14:paraId="18B27097" w14:textId="77777777" w:rsidR="009B2E43" w:rsidRPr="006319D0" w:rsidRDefault="009B2E43" w:rsidP="006319D0">
            <w:pPr>
              <w:rPr>
                <w:rFonts w:eastAsia="Calibri" w:cs="Arial"/>
                <w:sz w:val="22"/>
              </w:rPr>
            </w:pPr>
          </w:p>
        </w:tc>
        <w:tc>
          <w:tcPr>
            <w:tcW w:w="3260" w:type="dxa"/>
          </w:tcPr>
          <w:p w14:paraId="109613EB" w14:textId="77777777" w:rsidR="009B2E43" w:rsidRPr="006319D0" w:rsidRDefault="009B2E43" w:rsidP="006319D0">
            <w:pPr>
              <w:rPr>
                <w:rFonts w:eastAsia="Calibri" w:cs="Arial"/>
                <w:sz w:val="22"/>
              </w:rPr>
            </w:pPr>
          </w:p>
        </w:tc>
        <w:tc>
          <w:tcPr>
            <w:tcW w:w="1546" w:type="dxa"/>
          </w:tcPr>
          <w:p w14:paraId="6886E7A6" w14:textId="77777777" w:rsidR="009B2E43" w:rsidRPr="006319D0" w:rsidRDefault="009B2E43" w:rsidP="006319D0">
            <w:pPr>
              <w:rPr>
                <w:rFonts w:eastAsia="Calibri" w:cs="Arial"/>
                <w:sz w:val="22"/>
              </w:rPr>
            </w:pPr>
          </w:p>
        </w:tc>
        <w:tc>
          <w:tcPr>
            <w:tcW w:w="1147" w:type="dxa"/>
          </w:tcPr>
          <w:p w14:paraId="1A71BDDF" w14:textId="77777777" w:rsidR="009B2E43" w:rsidRPr="006319D0" w:rsidRDefault="009B2E43" w:rsidP="006319D0">
            <w:pPr>
              <w:rPr>
                <w:rFonts w:eastAsia="Calibri" w:cs="Arial"/>
                <w:sz w:val="22"/>
              </w:rPr>
            </w:pPr>
          </w:p>
        </w:tc>
      </w:tr>
      <w:tr w:rsidR="00BE0CBA" w:rsidRPr="006319D0" w14:paraId="3A62340C" w14:textId="77777777" w:rsidTr="00E85F41">
        <w:tc>
          <w:tcPr>
            <w:tcW w:w="5098" w:type="dxa"/>
            <w:shd w:val="clear" w:color="auto" w:fill="F2F2F2" w:themeFill="background1" w:themeFillShade="F2"/>
          </w:tcPr>
          <w:p w14:paraId="573926E7" w14:textId="0A1253E8" w:rsidR="008F1D34" w:rsidRPr="006319D0" w:rsidRDefault="008F1D34" w:rsidP="006319D0">
            <w:pPr>
              <w:rPr>
                <w:b/>
                <w:bCs/>
                <w:color w:val="0E8A38" w:themeColor="text2"/>
                <w:sz w:val="22"/>
              </w:rPr>
            </w:pPr>
            <w:bookmarkStart w:id="91" w:name="_Toc90905989"/>
            <w:bookmarkStart w:id="92" w:name="_Toc90906134"/>
            <w:r w:rsidRPr="006319D0">
              <w:rPr>
                <w:b/>
                <w:bCs/>
                <w:color w:val="0E8A38" w:themeColor="text2"/>
                <w:sz w:val="22"/>
              </w:rPr>
              <w:t>Alignment with the Freedom to Speak Up Review principles</w:t>
            </w:r>
            <w:bookmarkEnd w:id="91"/>
            <w:bookmarkEnd w:id="92"/>
          </w:p>
          <w:p w14:paraId="1E58B038" w14:textId="77777777" w:rsidR="008F1D34" w:rsidRPr="006319D0" w:rsidRDefault="008F1D34" w:rsidP="006319D0">
            <w:pPr>
              <w:rPr>
                <w:rFonts w:cs="Arial"/>
                <w:b/>
                <w:bCs/>
                <w:sz w:val="22"/>
              </w:rPr>
            </w:pPr>
          </w:p>
          <w:p w14:paraId="7190CF2A" w14:textId="6A5FA882" w:rsidR="00BE0CBA" w:rsidRPr="006319D0" w:rsidRDefault="008F1D34" w:rsidP="006319D0">
            <w:pPr>
              <w:rPr>
                <w:rFonts w:cs="Arial"/>
                <w:sz w:val="22"/>
              </w:rPr>
            </w:pPr>
            <w:r w:rsidRPr="006319D0">
              <w:rPr>
                <w:rFonts w:cs="Arial"/>
                <w:sz w:val="22"/>
              </w:rPr>
              <w:t xml:space="preserve">All aspects of the organisation’s work should be consistent with the principles of the </w:t>
            </w:r>
            <w:hyperlink r:id="rId16" w:history="1">
              <w:r w:rsidRPr="006319D0">
                <w:rPr>
                  <w:rStyle w:val="Hyperlink"/>
                  <w:rFonts w:cs="Arial"/>
                  <w:sz w:val="22"/>
                </w:rPr>
                <w:t>Freedom to Speak Up review</w:t>
              </w:r>
            </w:hyperlink>
            <w:r w:rsidRPr="006319D0">
              <w:rPr>
                <w:rFonts w:cs="Arial"/>
                <w:sz w:val="22"/>
              </w:rPr>
              <w:t>.</w:t>
            </w:r>
          </w:p>
        </w:tc>
        <w:tc>
          <w:tcPr>
            <w:tcW w:w="3119" w:type="dxa"/>
          </w:tcPr>
          <w:p w14:paraId="5B685F83" w14:textId="77777777" w:rsidR="00BE0CBA" w:rsidRPr="006319D0" w:rsidRDefault="00BE0CBA" w:rsidP="006319D0">
            <w:pPr>
              <w:rPr>
                <w:rFonts w:eastAsia="Calibri" w:cs="Arial"/>
                <w:sz w:val="22"/>
              </w:rPr>
            </w:pPr>
          </w:p>
        </w:tc>
        <w:tc>
          <w:tcPr>
            <w:tcW w:w="3260" w:type="dxa"/>
          </w:tcPr>
          <w:p w14:paraId="4E251C1A" w14:textId="77777777" w:rsidR="00BE0CBA" w:rsidRPr="006319D0" w:rsidRDefault="00BE0CBA" w:rsidP="006319D0">
            <w:pPr>
              <w:rPr>
                <w:rFonts w:eastAsia="Calibri" w:cs="Arial"/>
                <w:sz w:val="22"/>
              </w:rPr>
            </w:pPr>
          </w:p>
        </w:tc>
        <w:tc>
          <w:tcPr>
            <w:tcW w:w="1546" w:type="dxa"/>
          </w:tcPr>
          <w:p w14:paraId="00B3E06D" w14:textId="77777777" w:rsidR="00BE0CBA" w:rsidRPr="006319D0" w:rsidRDefault="00BE0CBA" w:rsidP="006319D0">
            <w:pPr>
              <w:rPr>
                <w:rFonts w:eastAsia="Calibri" w:cs="Arial"/>
                <w:sz w:val="22"/>
              </w:rPr>
            </w:pPr>
          </w:p>
        </w:tc>
        <w:tc>
          <w:tcPr>
            <w:tcW w:w="1147" w:type="dxa"/>
          </w:tcPr>
          <w:p w14:paraId="0FB553F2" w14:textId="77777777" w:rsidR="00BE0CBA" w:rsidRPr="006319D0" w:rsidRDefault="00BE0CBA" w:rsidP="006319D0">
            <w:pPr>
              <w:rPr>
                <w:rFonts w:eastAsia="Calibri" w:cs="Arial"/>
                <w:sz w:val="22"/>
              </w:rPr>
            </w:pPr>
          </w:p>
        </w:tc>
      </w:tr>
      <w:tr w:rsidR="009B2E43" w:rsidRPr="006319D0" w14:paraId="279E09C6" w14:textId="77777777" w:rsidTr="00E85F41">
        <w:tc>
          <w:tcPr>
            <w:tcW w:w="5098" w:type="dxa"/>
            <w:shd w:val="clear" w:color="auto" w:fill="F2F2F2" w:themeFill="background1" w:themeFillShade="F2"/>
          </w:tcPr>
          <w:p w14:paraId="165B07D9" w14:textId="77777777" w:rsidR="009B2E43" w:rsidRPr="006319D0" w:rsidRDefault="009B2E43" w:rsidP="006319D0">
            <w:pPr>
              <w:rPr>
                <w:b/>
                <w:bCs/>
                <w:sz w:val="22"/>
              </w:rPr>
            </w:pPr>
            <w:bookmarkStart w:id="93" w:name="_Toc90905990"/>
            <w:bookmarkStart w:id="94" w:name="_Toc90906135"/>
            <w:bookmarkStart w:id="95" w:name="_Toc90031629"/>
            <w:r w:rsidRPr="006319D0">
              <w:rPr>
                <w:b/>
                <w:bCs/>
                <w:color w:val="0E8A38" w:themeColor="text2"/>
                <w:sz w:val="22"/>
              </w:rPr>
              <w:t>Other policies and processes</w:t>
            </w:r>
            <w:bookmarkEnd w:id="93"/>
            <w:bookmarkEnd w:id="94"/>
          </w:p>
          <w:p w14:paraId="3D48C03C" w14:textId="77777777" w:rsidR="009B2E43" w:rsidRPr="006319D0" w:rsidRDefault="009B2E43" w:rsidP="006319D0">
            <w:pPr>
              <w:rPr>
                <w:rFonts w:cs="Arial"/>
                <w:sz w:val="22"/>
              </w:rPr>
            </w:pPr>
          </w:p>
          <w:p w14:paraId="2B03A4AD" w14:textId="77777777" w:rsidR="009B2E43" w:rsidRPr="006319D0" w:rsidRDefault="009B2E43" w:rsidP="006319D0">
            <w:pPr>
              <w:rPr>
                <w:rFonts w:cs="Arial"/>
                <w:sz w:val="22"/>
              </w:rPr>
            </w:pPr>
            <w:r w:rsidRPr="006319D0">
              <w:rPr>
                <w:rFonts w:cs="Arial"/>
                <w:sz w:val="22"/>
              </w:rPr>
              <w:t>Policies and processes should be supportive of all workers affected by the speaking up process, including those who are the subject of matters raised.</w:t>
            </w:r>
          </w:p>
          <w:p w14:paraId="45D14362" w14:textId="77777777" w:rsidR="009B2E43" w:rsidRPr="006319D0" w:rsidRDefault="009B2E43" w:rsidP="006319D0">
            <w:pPr>
              <w:rPr>
                <w:rFonts w:cs="Arial"/>
                <w:sz w:val="22"/>
              </w:rPr>
            </w:pPr>
          </w:p>
          <w:p w14:paraId="0812EBD5" w14:textId="77777777" w:rsidR="009B2E43" w:rsidRPr="006319D0" w:rsidRDefault="009B2E43" w:rsidP="006319D0">
            <w:pPr>
              <w:rPr>
                <w:rFonts w:cs="Arial"/>
                <w:sz w:val="22"/>
              </w:rPr>
            </w:pPr>
            <w:r w:rsidRPr="006319D0">
              <w:rPr>
                <w:rFonts w:cs="Arial"/>
                <w:sz w:val="22"/>
              </w:rPr>
              <w:t xml:space="preserve">Where a worker is going through a disciplinary process that also encompasses potential patient </w:t>
            </w:r>
            <w:r w:rsidRPr="006319D0">
              <w:rPr>
                <w:rFonts w:cs="Arial"/>
                <w:sz w:val="22"/>
              </w:rPr>
              <w:lastRenderedPageBreak/>
              <w:t>safety issues or similar matters they have raised, the worker should be provided with all appropriate support to speak up about those matters and all appropriate steps should be taken to maintain the worker’s confidentiality.</w:t>
            </w:r>
          </w:p>
          <w:p w14:paraId="58EE0D10" w14:textId="77777777" w:rsidR="009B2E43" w:rsidRPr="006319D0" w:rsidRDefault="009B2E43" w:rsidP="006319D0">
            <w:pPr>
              <w:rPr>
                <w:rFonts w:cs="Arial"/>
                <w:sz w:val="22"/>
              </w:rPr>
            </w:pPr>
          </w:p>
          <w:p w14:paraId="3F7811FA" w14:textId="77777777" w:rsidR="009B2E43" w:rsidRPr="006319D0" w:rsidRDefault="009B2E43" w:rsidP="006319D0">
            <w:pPr>
              <w:rPr>
                <w:rFonts w:cs="Arial"/>
                <w:sz w:val="22"/>
              </w:rPr>
            </w:pPr>
            <w:r w:rsidRPr="006319D0">
              <w:rPr>
                <w:rFonts w:cs="Arial"/>
                <w:sz w:val="22"/>
              </w:rPr>
              <w:t>On the scheduled review of a policy and/or procedure, steps should be taken so that the policy or procedure in question is in alignment with good practice in relation to freedom to speak up.</w:t>
            </w:r>
          </w:p>
          <w:p w14:paraId="7C5684A0" w14:textId="77777777" w:rsidR="009B2E43" w:rsidRPr="006319D0" w:rsidRDefault="009B2E43" w:rsidP="006319D0">
            <w:pPr>
              <w:rPr>
                <w:rFonts w:cs="Arial"/>
                <w:sz w:val="22"/>
              </w:rPr>
            </w:pPr>
          </w:p>
          <w:p w14:paraId="1E2AE20B" w14:textId="77777777" w:rsidR="009B2E43" w:rsidRPr="006319D0" w:rsidRDefault="009B2E43" w:rsidP="006319D0">
            <w:pPr>
              <w:rPr>
                <w:rFonts w:cs="Arial"/>
                <w:sz w:val="22"/>
              </w:rPr>
            </w:pPr>
            <w:r w:rsidRPr="006319D0">
              <w:rPr>
                <w:rFonts w:cs="Arial"/>
                <w:sz w:val="22"/>
              </w:rPr>
              <w:t xml:space="preserve">HR policies and procedures should: </w:t>
            </w:r>
          </w:p>
          <w:p w14:paraId="63E81EEE" w14:textId="77777777" w:rsidR="00BE0CBA" w:rsidRPr="006319D0" w:rsidRDefault="00BE0CBA" w:rsidP="006319D0">
            <w:pPr>
              <w:rPr>
                <w:rFonts w:cs="Arial"/>
                <w:sz w:val="22"/>
              </w:rPr>
            </w:pPr>
          </w:p>
          <w:p w14:paraId="6E2E7378" w14:textId="77777777" w:rsidR="009B2E43" w:rsidRPr="006319D0" w:rsidRDefault="009B2E43" w:rsidP="006319D0">
            <w:pPr>
              <w:rPr>
                <w:rFonts w:cs="Arial"/>
                <w:sz w:val="22"/>
              </w:rPr>
            </w:pPr>
            <w:r w:rsidRPr="006319D0">
              <w:rPr>
                <w:rFonts w:cs="Arial"/>
                <w:sz w:val="22"/>
              </w:rPr>
              <w:t>have the confidence of the workforce</w:t>
            </w:r>
          </w:p>
          <w:p w14:paraId="0710BAA2" w14:textId="77777777" w:rsidR="009B2E43" w:rsidRPr="006319D0" w:rsidRDefault="009B2E43" w:rsidP="006319D0">
            <w:pPr>
              <w:rPr>
                <w:rFonts w:cs="Arial"/>
                <w:sz w:val="22"/>
              </w:rPr>
            </w:pPr>
            <w:r w:rsidRPr="006319D0">
              <w:rPr>
                <w:rFonts w:cs="Arial"/>
                <w:sz w:val="22"/>
              </w:rPr>
              <w:t>meet the needs of workers who speak up, including effective training for workers in human resources</w:t>
            </w:r>
          </w:p>
          <w:p w14:paraId="27D48C08" w14:textId="77777777" w:rsidR="009B2E43" w:rsidRPr="006319D0" w:rsidRDefault="009B2E43" w:rsidP="006319D0">
            <w:pPr>
              <w:rPr>
                <w:rFonts w:cs="Arial"/>
                <w:sz w:val="22"/>
              </w:rPr>
            </w:pPr>
          </w:p>
          <w:p w14:paraId="200CC4B5" w14:textId="77777777" w:rsidR="009B2E43" w:rsidRPr="006319D0" w:rsidRDefault="009B2E43" w:rsidP="006319D0">
            <w:pPr>
              <w:rPr>
                <w:rFonts w:cs="Arial"/>
                <w:sz w:val="22"/>
              </w:rPr>
            </w:pPr>
            <w:r w:rsidRPr="006319D0">
              <w:rPr>
                <w:rFonts w:cs="Arial"/>
                <w:sz w:val="22"/>
              </w:rPr>
              <w:t>Where the grievance process is used in response to a worker speaking up, the grievance policies and procedures should be correctly followed, including in respect of providing an initial scoping meeting to discuss the matter the worker is speaking up about and the range of alternative processes for handling it.</w:t>
            </w:r>
          </w:p>
          <w:p w14:paraId="24E31744" w14:textId="77777777" w:rsidR="009B2E43" w:rsidRPr="006319D0" w:rsidRDefault="009B2E43" w:rsidP="006319D0">
            <w:pPr>
              <w:rPr>
                <w:rFonts w:cs="Arial"/>
                <w:sz w:val="22"/>
              </w:rPr>
            </w:pPr>
          </w:p>
          <w:p w14:paraId="3700586E" w14:textId="77777777" w:rsidR="009B2E43" w:rsidRPr="006319D0" w:rsidRDefault="009B2E43" w:rsidP="006319D0">
            <w:pPr>
              <w:rPr>
                <w:rFonts w:cs="Arial"/>
                <w:sz w:val="22"/>
              </w:rPr>
            </w:pPr>
            <w:r w:rsidRPr="006319D0">
              <w:rPr>
                <w:rFonts w:cs="Arial"/>
                <w:sz w:val="22"/>
              </w:rPr>
              <w:t>Workers who take periods of sickness leave, including in relation to their speaking up, should be provided with support upon returning from that leave that is in accordance with the values, policies, and guidance.</w:t>
            </w:r>
          </w:p>
          <w:p w14:paraId="234D4DCD" w14:textId="77777777" w:rsidR="009B2E43" w:rsidRPr="006319D0" w:rsidRDefault="009B2E43" w:rsidP="006319D0">
            <w:pPr>
              <w:rPr>
                <w:rFonts w:cs="Arial"/>
                <w:sz w:val="22"/>
              </w:rPr>
            </w:pPr>
          </w:p>
          <w:p w14:paraId="7E44110A" w14:textId="77777777" w:rsidR="00BE0CBA" w:rsidRPr="006319D0" w:rsidRDefault="00BE0CBA" w:rsidP="006319D0">
            <w:pPr>
              <w:rPr>
                <w:rFonts w:cs="Arial"/>
                <w:sz w:val="22"/>
              </w:rPr>
            </w:pPr>
            <w:r w:rsidRPr="006319D0">
              <w:rPr>
                <w:rFonts w:cs="Arial"/>
                <w:sz w:val="22"/>
              </w:rPr>
              <w:t xml:space="preserve">Those with responsibility for supporting workers to return to work rom sickness absence should be </w:t>
            </w:r>
            <w:r w:rsidRPr="006319D0">
              <w:rPr>
                <w:rFonts w:cs="Arial"/>
                <w:sz w:val="22"/>
              </w:rPr>
              <w:lastRenderedPageBreak/>
              <w:t>capable of implementing the relevant policies and guidance to manage this process.</w:t>
            </w:r>
          </w:p>
          <w:p w14:paraId="7764F52C" w14:textId="77777777" w:rsidR="00BE0CBA" w:rsidRPr="006319D0" w:rsidRDefault="00BE0CBA" w:rsidP="006319D0">
            <w:pPr>
              <w:rPr>
                <w:rFonts w:cs="Arial"/>
                <w:sz w:val="22"/>
              </w:rPr>
            </w:pPr>
          </w:p>
          <w:p w14:paraId="64DE4E0F" w14:textId="2F340D51" w:rsidR="009B2E43" w:rsidRPr="006319D0" w:rsidRDefault="009B2E43" w:rsidP="006319D0">
            <w:pPr>
              <w:rPr>
                <w:rFonts w:cs="Arial"/>
                <w:b/>
                <w:sz w:val="22"/>
              </w:rPr>
            </w:pPr>
            <w:r w:rsidRPr="006319D0">
              <w:rPr>
                <w:rFonts w:cs="Arial"/>
                <w:sz w:val="22"/>
              </w:rPr>
              <w:t xml:space="preserve">The policy for dealing with serious incidents should provide that feedback and any learning is shared with </w:t>
            </w:r>
            <w:r w:rsidR="00BE0CBA" w:rsidRPr="006319D0">
              <w:rPr>
                <w:rFonts w:cs="Arial"/>
                <w:sz w:val="22"/>
              </w:rPr>
              <w:t>those</w:t>
            </w:r>
            <w:r w:rsidRPr="006319D0">
              <w:rPr>
                <w:rFonts w:cs="Arial"/>
                <w:sz w:val="22"/>
              </w:rPr>
              <w:t xml:space="preserve"> who speak up regarding an incident.</w:t>
            </w:r>
            <w:bookmarkEnd w:id="95"/>
          </w:p>
        </w:tc>
        <w:tc>
          <w:tcPr>
            <w:tcW w:w="3119" w:type="dxa"/>
          </w:tcPr>
          <w:p w14:paraId="3F6587CA" w14:textId="77777777" w:rsidR="009B2E43" w:rsidRPr="006319D0" w:rsidRDefault="009B2E43" w:rsidP="006319D0">
            <w:pPr>
              <w:rPr>
                <w:rFonts w:eastAsia="Calibri" w:cs="Arial"/>
                <w:sz w:val="22"/>
              </w:rPr>
            </w:pPr>
          </w:p>
        </w:tc>
        <w:tc>
          <w:tcPr>
            <w:tcW w:w="3260" w:type="dxa"/>
          </w:tcPr>
          <w:p w14:paraId="35173144" w14:textId="77777777" w:rsidR="009B2E43" w:rsidRPr="006319D0" w:rsidRDefault="009B2E43" w:rsidP="006319D0">
            <w:pPr>
              <w:rPr>
                <w:rFonts w:eastAsia="Calibri" w:cs="Arial"/>
                <w:sz w:val="22"/>
              </w:rPr>
            </w:pPr>
          </w:p>
        </w:tc>
        <w:tc>
          <w:tcPr>
            <w:tcW w:w="1546" w:type="dxa"/>
          </w:tcPr>
          <w:p w14:paraId="55C9D239" w14:textId="77777777" w:rsidR="009B2E43" w:rsidRPr="006319D0" w:rsidRDefault="009B2E43" w:rsidP="006319D0">
            <w:pPr>
              <w:rPr>
                <w:rFonts w:eastAsia="Calibri" w:cs="Arial"/>
                <w:sz w:val="22"/>
              </w:rPr>
            </w:pPr>
          </w:p>
        </w:tc>
        <w:tc>
          <w:tcPr>
            <w:tcW w:w="1147" w:type="dxa"/>
          </w:tcPr>
          <w:p w14:paraId="3A92AA5A" w14:textId="77777777" w:rsidR="009B2E43" w:rsidRPr="006319D0" w:rsidRDefault="009B2E43" w:rsidP="006319D0">
            <w:pPr>
              <w:rPr>
                <w:rFonts w:eastAsia="Calibri" w:cs="Arial"/>
                <w:sz w:val="22"/>
              </w:rPr>
            </w:pPr>
          </w:p>
        </w:tc>
      </w:tr>
      <w:tr w:rsidR="009B2E43" w:rsidRPr="006319D0" w14:paraId="42604DEA" w14:textId="77777777" w:rsidTr="00E85F41">
        <w:tc>
          <w:tcPr>
            <w:tcW w:w="5098" w:type="dxa"/>
            <w:shd w:val="clear" w:color="auto" w:fill="F2F2F2" w:themeFill="background1" w:themeFillShade="F2"/>
          </w:tcPr>
          <w:p w14:paraId="74E9CAEA" w14:textId="77777777" w:rsidR="009B2E43" w:rsidRPr="006319D0" w:rsidRDefault="009B2E43" w:rsidP="006319D0">
            <w:pPr>
              <w:rPr>
                <w:b/>
                <w:bCs/>
                <w:color w:val="0E8A38" w:themeColor="text2"/>
                <w:sz w:val="22"/>
              </w:rPr>
            </w:pPr>
            <w:bookmarkStart w:id="96" w:name="_Toc90905991"/>
            <w:bookmarkStart w:id="97" w:name="_Toc90906136"/>
            <w:bookmarkStart w:id="98" w:name="_Toc90031630"/>
            <w:r w:rsidRPr="006319D0">
              <w:rPr>
                <w:b/>
                <w:bCs/>
                <w:color w:val="0E8A38" w:themeColor="text2"/>
                <w:sz w:val="22"/>
              </w:rPr>
              <w:lastRenderedPageBreak/>
              <w:t>Fit and proper person review</w:t>
            </w:r>
            <w:bookmarkEnd w:id="96"/>
            <w:bookmarkEnd w:id="97"/>
          </w:p>
          <w:p w14:paraId="281FB9DB" w14:textId="59B4021D" w:rsidR="009B2E43" w:rsidRPr="006319D0" w:rsidRDefault="009B2E43" w:rsidP="006319D0">
            <w:pPr>
              <w:rPr>
                <w:rFonts w:cs="Arial"/>
                <w:sz w:val="22"/>
              </w:rPr>
            </w:pPr>
            <w:r w:rsidRPr="006319D0">
              <w:rPr>
                <w:rFonts w:cs="Arial"/>
                <w:sz w:val="22"/>
              </w:rPr>
              <w:t>Fit and Proper Person reviews should be undertaken in accordance with good practice.</w:t>
            </w:r>
            <w:bookmarkEnd w:id="98"/>
          </w:p>
        </w:tc>
        <w:tc>
          <w:tcPr>
            <w:tcW w:w="3119" w:type="dxa"/>
          </w:tcPr>
          <w:p w14:paraId="6429CB44" w14:textId="77777777" w:rsidR="009B2E43" w:rsidRPr="006319D0" w:rsidRDefault="009B2E43" w:rsidP="006319D0">
            <w:pPr>
              <w:rPr>
                <w:rFonts w:eastAsia="Calibri" w:cs="Arial"/>
                <w:sz w:val="22"/>
              </w:rPr>
            </w:pPr>
          </w:p>
        </w:tc>
        <w:tc>
          <w:tcPr>
            <w:tcW w:w="3260" w:type="dxa"/>
          </w:tcPr>
          <w:p w14:paraId="3267DF33" w14:textId="77777777" w:rsidR="009B2E43" w:rsidRPr="006319D0" w:rsidRDefault="009B2E43" w:rsidP="006319D0">
            <w:pPr>
              <w:rPr>
                <w:rFonts w:eastAsia="Calibri" w:cs="Arial"/>
                <w:sz w:val="22"/>
              </w:rPr>
            </w:pPr>
          </w:p>
        </w:tc>
        <w:tc>
          <w:tcPr>
            <w:tcW w:w="1546" w:type="dxa"/>
          </w:tcPr>
          <w:p w14:paraId="55EA65CB" w14:textId="77777777" w:rsidR="009B2E43" w:rsidRPr="006319D0" w:rsidRDefault="009B2E43" w:rsidP="006319D0">
            <w:pPr>
              <w:rPr>
                <w:rFonts w:eastAsia="Calibri" w:cs="Arial"/>
                <w:sz w:val="22"/>
              </w:rPr>
            </w:pPr>
          </w:p>
        </w:tc>
        <w:tc>
          <w:tcPr>
            <w:tcW w:w="1147" w:type="dxa"/>
          </w:tcPr>
          <w:p w14:paraId="1C4FF46A" w14:textId="77777777" w:rsidR="009B2E43" w:rsidRPr="006319D0" w:rsidRDefault="009B2E43" w:rsidP="006319D0">
            <w:pPr>
              <w:rPr>
                <w:rFonts w:eastAsia="Calibri" w:cs="Arial"/>
                <w:sz w:val="22"/>
              </w:rPr>
            </w:pPr>
          </w:p>
        </w:tc>
      </w:tr>
    </w:tbl>
    <w:p w14:paraId="0F44F127" w14:textId="641B1EF8" w:rsidR="00F81AE4" w:rsidRPr="006319D0" w:rsidRDefault="00F81AE4" w:rsidP="006319D0">
      <w:pPr>
        <w:rPr>
          <w:rFonts w:cs="Arial"/>
          <w:sz w:val="22"/>
        </w:rPr>
      </w:pPr>
    </w:p>
    <w:sectPr w:rsidR="00F81AE4" w:rsidRPr="006319D0" w:rsidSect="00672907">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7FBFA" w14:textId="77777777" w:rsidR="00265CEE" w:rsidRDefault="00265CEE" w:rsidP="00E57EB3">
      <w:pPr>
        <w:spacing w:after="0"/>
      </w:pPr>
      <w:r>
        <w:separator/>
      </w:r>
    </w:p>
  </w:endnote>
  <w:endnote w:type="continuationSeparator" w:id="0">
    <w:p w14:paraId="59CF4301" w14:textId="77777777" w:rsidR="00265CEE" w:rsidRDefault="00265CEE" w:rsidP="00E57EB3">
      <w:pPr>
        <w:spacing w:after="0"/>
      </w:pPr>
      <w:r>
        <w:continuationSeparator/>
      </w:r>
    </w:p>
  </w:endnote>
  <w:endnote w:type="continuationNotice" w:id="1">
    <w:p w14:paraId="65980E2D" w14:textId="77777777" w:rsidR="00265CEE" w:rsidRDefault="00265C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99C91" w14:textId="77777777" w:rsidR="00265CEE" w:rsidRDefault="00265CEE" w:rsidP="00E57EB3">
      <w:pPr>
        <w:spacing w:after="0"/>
      </w:pPr>
      <w:r>
        <w:separator/>
      </w:r>
    </w:p>
  </w:footnote>
  <w:footnote w:type="continuationSeparator" w:id="0">
    <w:p w14:paraId="2468CA1C" w14:textId="77777777" w:rsidR="00265CEE" w:rsidRDefault="00265CEE" w:rsidP="00E57EB3">
      <w:pPr>
        <w:spacing w:after="0"/>
      </w:pPr>
      <w:r>
        <w:continuationSeparator/>
      </w:r>
    </w:p>
  </w:footnote>
  <w:footnote w:type="continuationNotice" w:id="1">
    <w:p w14:paraId="1C3F3683" w14:textId="77777777" w:rsidR="00265CEE" w:rsidRDefault="00265C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078B" w14:textId="770C254E" w:rsidR="002573B3" w:rsidRPr="002573B3" w:rsidRDefault="000F621F" w:rsidP="000F621F">
    <w:pPr>
      <w:pStyle w:val="Header"/>
      <w:jc w:val="right"/>
    </w:pPr>
    <w:r>
      <w:rPr>
        <w:noProof/>
      </w:rPr>
      <w:drawing>
        <wp:anchor distT="0" distB="0" distL="114300" distR="114300" simplePos="0" relativeHeight="251657216" behindDoc="0" locked="0" layoutInCell="1" allowOverlap="1" wp14:anchorId="28001DA5" wp14:editId="38831149">
          <wp:simplePos x="0" y="0"/>
          <wp:positionH relativeFrom="column">
            <wp:posOffset>8108578</wp:posOffset>
          </wp:positionH>
          <wp:positionV relativeFrom="paragraph">
            <wp:posOffset>-242175</wp:posOffset>
          </wp:positionV>
          <wp:extent cx="1192794" cy="490224"/>
          <wp:effectExtent l="0" t="0" r="7620" b="5080"/>
          <wp:wrapNone/>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inkedIn Banner.jpg"/>
                  <pic:cNvPicPr/>
                </pic:nvPicPr>
                <pic:blipFill>
                  <a:blip r:embed="rId1">
                    <a:extLst>
                      <a:ext uri="{28A0092B-C50C-407E-A947-70E740481C1C}">
                        <a14:useLocalDpi xmlns:a14="http://schemas.microsoft.com/office/drawing/2010/main" val="0"/>
                      </a:ext>
                    </a:extLst>
                  </a:blip>
                  <a:stretch>
                    <a:fillRect/>
                  </a:stretch>
                </pic:blipFill>
                <pic:spPr>
                  <a:xfrm>
                    <a:off x="0" y="0"/>
                    <a:ext cx="1192794" cy="4902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875"/>
    <w:multiLevelType w:val="hybridMultilevel"/>
    <w:tmpl w:val="9ADED334"/>
    <w:lvl w:ilvl="0" w:tplc="E6BC7C58">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9C5D60"/>
    <w:multiLevelType w:val="hybridMultilevel"/>
    <w:tmpl w:val="D9D4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406CA"/>
    <w:multiLevelType w:val="hybridMultilevel"/>
    <w:tmpl w:val="6D9C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C03A5"/>
    <w:multiLevelType w:val="hybridMultilevel"/>
    <w:tmpl w:val="05C8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1785A"/>
    <w:multiLevelType w:val="hybridMultilevel"/>
    <w:tmpl w:val="B7D86D5E"/>
    <w:lvl w:ilvl="0" w:tplc="08090001">
      <w:start w:val="1"/>
      <w:numFmt w:val="bullet"/>
      <w:lvlText w:val=""/>
      <w:lvlJc w:val="left"/>
      <w:pPr>
        <w:ind w:left="720" w:hanging="360"/>
      </w:pPr>
      <w:rPr>
        <w:rFonts w:ascii="Symbol" w:hAnsi="Symbol" w:hint="default"/>
      </w:rPr>
    </w:lvl>
    <w:lvl w:ilvl="1" w:tplc="1DEC62E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51812"/>
    <w:multiLevelType w:val="hybridMultilevel"/>
    <w:tmpl w:val="234EB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9F7BEF"/>
    <w:multiLevelType w:val="hybridMultilevel"/>
    <w:tmpl w:val="C8E697D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29F41F51"/>
    <w:multiLevelType w:val="hybridMultilevel"/>
    <w:tmpl w:val="1E3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12A02"/>
    <w:multiLevelType w:val="hybridMultilevel"/>
    <w:tmpl w:val="B68CA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563EC2"/>
    <w:multiLevelType w:val="hybridMultilevel"/>
    <w:tmpl w:val="BD7C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86FD6"/>
    <w:multiLevelType w:val="hybridMultilevel"/>
    <w:tmpl w:val="6166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A5B48"/>
    <w:multiLevelType w:val="hybridMultilevel"/>
    <w:tmpl w:val="3FEA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90D44"/>
    <w:multiLevelType w:val="hybridMultilevel"/>
    <w:tmpl w:val="2FBCA5EC"/>
    <w:lvl w:ilvl="0" w:tplc="FFFFFFFF">
      <w:start w:val="4"/>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00D49"/>
    <w:multiLevelType w:val="hybridMultilevel"/>
    <w:tmpl w:val="E0548F6E"/>
    <w:lvl w:ilvl="0" w:tplc="C74647A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4D2E17"/>
    <w:multiLevelType w:val="hybridMultilevel"/>
    <w:tmpl w:val="E7F4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F6F1D"/>
    <w:multiLevelType w:val="hybridMultilevel"/>
    <w:tmpl w:val="1096A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3233BC"/>
    <w:multiLevelType w:val="hybridMultilevel"/>
    <w:tmpl w:val="F598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2368C5"/>
    <w:multiLevelType w:val="hybridMultilevel"/>
    <w:tmpl w:val="4D24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D0EAF"/>
    <w:multiLevelType w:val="hybridMultilevel"/>
    <w:tmpl w:val="EC6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D613AC"/>
    <w:multiLevelType w:val="hybridMultilevel"/>
    <w:tmpl w:val="A700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35EFD"/>
    <w:multiLevelType w:val="hybridMultilevel"/>
    <w:tmpl w:val="92F2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512C8"/>
    <w:multiLevelType w:val="hybridMultilevel"/>
    <w:tmpl w:val="686C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D6020E"/>
    <w:multiLevelType w:val="hybridMultilevel"/>
    <w:tmpl w:val="C1765DE6"/>
    <w:lvl w:ilvl="0" w:tplc="E6BC7C5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96E21"/>
    <w:multiLevelType w:val="hybridMultilevel"/>
    <w:tmpl w:val="67D82E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7033768"/>
    <w:multiLevelType w:val="hybridMultilevel"/>
    <w:tmpl w:val="7958B09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93A1272"/>
    <w:multiLevelType w:val="hybridMultilevel"/>
    <w:tmpl w:val="8D70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00CA3"/>
    <w:multiLevelType w:val="hybridMultilevel"/>
    <w:tmpl w:val="ABA2E114"/>
    <w:lvl w:ilvl="0" w:tplc="1C38FDE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2A5901"/>
    <w:multiLevelType w:val="hybridMultilevel"/>
    <w:tmpl w:val="9592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9D466B"/>
    <w:multiLevelType w:val="hybridMultilevel"/>
    <w:tmpl w:val="6852A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037A5E"/>
    <w:multiLevelType w:val="hybridMultilevel"/>
    <w:tmpl w:val="8B12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E64A5"/>
    <w:multiLevelType w:val="hybridMultilevel"/>
    <w:tmpl w:val="8F38C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3D11DE"/>
    <w:multiLevelType w:val="hybridMultilevel"/>
    <w:tmpl w:val="38265EE2"/>
    <w:lvl w:ilvl="0" w:tplc="C74647A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2"/>
  </w:num>
  <w:num w:numId="4">
    <w:abstractNumId w:val="8"/>
  </w:num>
  <w:num w:numId="5">
    <w:abstractNumId w:val="3"/>
  </w:num>
  <w:num w:numId="6">
    <w:abstractNumId w:val="4"/>
  </w:num>
  <w:num w:numId="7">
    <w:abstractNumId w:val="29"/>
  </w:num>
  <w:num w:numId="8">
    <w:abstractNumId w:val="11"/>
  </w:num>
  <w:num w:numId="9">
    <w:abstractNumId w:val="23"/>
  </w:num>
  <w:num w:numId="10">
    <w:abstractNumId w:val="24"/>
  </w:num>
  <w:num w:numId="11">
    <w:abstractNumId w:val="1"/>
  </w:num>
  <w:num w:numId="12">
    <w:abstractNumId w:val="27"/>
  </w:num>
  <w:num w:numId="13">
    <w:abstractNumId w:val="20"/>
  </w:num>
  <w:num w:numId="14">
    <w:abstractNumId w:val="17"/>
  </w:num>
  <w:num w:numId="15">
    <w:abstractNumId w:val="25"/>
  </w:num>
  <w:num w:numId="16">
    <w:abstractNumId w:val="21"/>
  </w:num>
  <w:num w:numId="17">
    <w:abstractNumId w:val="22"/>
  </w:num>
  <w:num w:numId="18">
    <w:abstractNumId w:val="0"/>
  </w:num>
  <w:num w:numId="19">
    <w:abstractNumId w:val="2"/>
  </w:num>
  <w:num w:numId="20">
    <w:abstractNumId w:val="7"/>
  </w:num>
  <w:num w:numId="21">
    <w:abstractNumId w:val="14"/>
  </w:num>
  <w:num w:numId="22">
    <w:abstractNumId w:val="9"/>
  </w:num>
  <w:num w:numId="23">
    <w:abstractNumId w:val="6"/>
  </w:num>
  <w:num w:numId="24">
    <w:abstractNumId w:val="16"/>
  </w:num>
  <w:num w:numId="25">
    <w:abstractNumId w:val="13"/>
  </w:num>
  <w:num w:numId="26">
    <w:abstractNumId w:val="31"/>
  </w:num>
  <w:num w:numId="27">
    <w:abstractNumId w:val="15"/>
  </w:num>
  <w:num w:numId="28">
    <w:abstractNumId w:val="30"/>
  </w:num>
  <w:num w:numId="29">
    <w:abstractNumId w:val="5"/>
  </w:num>
  <w:num w:numId="30">
    <w:abstractNumId w:val="18"/>
  </w:num>
  <w:num w:numId="31">
    <w:abstractNumId w:val="2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C9"/>
    <w:rsid w:val="000018FE"/>
    <w:rsid w:val="00001F72"/>
    <w:rsid w:val="00002CDF"/>
    <w:rsid w:val="000032FE"/>
    <w:rsid w:val="00003421"/>
    <w:rsid w:val="00005486"/>
    <w:rsid w:val="00005CB0"/>
    <w:rsid w:val="00006B74"/>
    <w:rsid w:val="00010794"/>
    <w:rsid w:val="00011218"/>
    <w:rsid w:val="0001191C"/>
    <w:rsid w:val="00011CE7"/>
    <w:rsid w:val="00012BEC"/>
    <w:rsid w:val="00012C72"/>
    <w:rsid w:val="00013BAD"/>
    <w:rsid w:val="0001526A"/>
    <w:rsid w:val="00017AA4"/>
    <w:rsid w:val="00023396"/>
    <w:rsid w:val="00023BD7"/>
    <w:rsid w:val="00024207"/>
    <w:rsid w:val="0002454B"/>
    <w:rsid w:val="000265BB"/>
    <w:rsid w:val="000272F2"/>
    <w:rsid w:val="00027B34"/>
    <w:rsid w:val="00030CD5"/>
    <w:rsid w:val="0003573F"/>
    <w:rsid w:val="00036874"/>
    <w:rsid w:val="00036CCD"/>
    <w:rsid w:val="00040233"/>
    <w:rsid w:val="0004407F"/>
    <w:rsid w:val="0004595A"/>
    <w:rsid w:val="00050A63"/>
    <w:rsid w:val="000512F4"/>
    <w:rsid w:val="00053D6D"/>
    <w:rsid w:val="0005419B"/>
    <w:rsid w:val="00054DF9"/>
    <w:rsid w:val="00056E94"/>
    <w:rsid w:val="00060BA7"/>
    <w:rsid w:val="000623B4"/>
    <w:rsid w:val="0006403D"/>
    <w:rsid w:val="00064679"/>
    <w:rsid w:val="00064B15"/>
    <w:rsid w:val="00065E05"/>
    <w:rsid w:val="00065E2E"/>
    <w:rsid w:val="000668E7"/>
    <w:rsid w:val="000712C5"/>
    <w:rsid w:val="00071EDE"/>
    <w:rsid w:val="00074211"/>
    <w:rsid w:val="00074D3A"/>
    <w:rsid w:val="00076374"/>
    <w:rsid w:val="0007762B"/>
    <w:rsid w:val="00077650"/>
    <w:rsid w:val="00077A93"/>
    <w:rsid w:val="00077BCA"/>
    <w:rsid w:val="000824DD"/>
    <w:rsid w:val="000835FF"/>
    <w:rsid w:val="00084A81"/>
    <w:rsid w:val="00087BD7"/>
    <w:rsid w:val="000916E5"/>
    <w:rsid w:val="00093910"/>
    <w:rsid w:val="00094BD2"/>
    <w:rsid w:val="00094D4B"/>
    <w:rsid w:val="00095DE2"/>
    <w:rsid w:val="00095F8B"/>
    <w:rsid w:val="000A1969"/>
    <w:rsid w:val="000A4C0E"/>
    <w:rsid w:val="000A4FA9"/>
    <w:rsid w:val="000B1168"/>
    <w:rsid w:val="000B18E5"/>
    <w:rsid w:val="000B230F"/>
    <w:rsid w:val="000B270E"/>
    <w:rsid w:val="000B299B"/>
    <w:rsid w:val="000B432D"/>
    <w:rsid w:val="000B470C"/>
    <w:rsid w:val="000B4722"/>
    <w:rsid w:val="000B5A5D"/>
    <w:rsid w:val="000B6939"/>
    <w:rsid w:val="000B69B7"/>
    <w:rsid w:val="000C0228"/>
    <w:rsid w:val="000C1854"/>
    <w:rsid w:val="000C2438"/>
    <w:rsid w:val="000C3702"/>
    <w:rsid w:val="000C66B4"/>
    <w:rsid w:val="000D1403"/>
    <w:rsid w:val="000D1947"/>
    <w:rsid w:val="000D1F56"/>
    <w:rsid w:val="000D2989"/>
    <w:rsid w:val="000D42B2"/>
    <w:rsid w:val="000D76E0"/>
    <w:rsid w:val="000D77B9"/>
    <w:rsid w:val="000E0809"/>
    <w:rsid w:val="000E1210"/>
    <w:rsid w:val="000E7320"/>
    <w:rsid w:val="000F21FA"/>
    <w:rsid w:val="000F3D51"/>
    <w:rsid w:val="000F4A9B"/>
    <w:rsid w:val="000F4B4F"/>
    <w:rsid w:val="000F6105"/>
    <w:rsid w:val="000F621F"/>
    <w:rsid w:val="000F67C4"/>
    <w:rsid w:val="000F6EFD"/>
    <w:rsid w:val="000F7CC7"/>
    <w:rsid w:val="001010AB"/>
    <w:rsid w:val="00103D8B"/>
    <w:rsid w:val="001044C9"/>
    <w:rsid w:val="001066A9"/>
    <w:rsid w:val="00110BFE"/>
    <w:rsid w:val="00110D96"/>
    <w:rsid w:val="00111F86"/>
    <w:rsid w:val="0011228D"/>
    <w:rsid w:val="00113326"/>
    <w:rsid w:val="00115FE5"/>
    <w:rsid w:val="001165BD"/>
    <w:rsid w:val="00123BE3"/>
    <w:rsid w:val="00123E9F"/>
    <w:rsid w:val="0012622F"/>
    <w:rsid w:val="001262A9"/>
    <w:rsid w:val="00127180"/>
    <w:rsid w:val="00127428"/>
    <w:rsid w:val="00127B19"/>
    <w:rsid w:val="0013169D"/>
    <w:rsid w:val="001323FD"/>
    <w:rsid w:val="00132EB9"/>
    <w:rsid w:val="00132FE9"/>
    <w:rsid w:val="00133335"/>
    <w:rsid w:val="001350C5"/>
    <w:rsid w:val="00135AE4"/>
    <w:rsid w:val="00135BE7"/>
    <w:rsid w:val="0013630B"/>
    <w:rsid w:val="001368FF"/>
    <w:rsid w:val="0013693B"/>
    <w:rsid w:val="001406F8"/>
    <w:rsid w:val="001411F1"/>
    <w:rsid w:val="00144569"/>
    <w:rsid w:val="001455CA"/>
    <w:rsid w:val="00150A87"/>
    <w:rsid w:val="001514E9"/>
    <w:rsid w:val="0015228F"/>
    <w:rsid w:val="00152D02"/>
    <w:rsid w:val="00154E35"/>
    <w:rsid w:val="001560F0"/>
    <w:rsid w:val="001571A7"/>
    <w:rsid w:val="00160416"/>
    <w:rsid w:val="00161E06"/>
    <w:rsid w:val="00161F69"/>
    <w:rsid w:val="00162C84"/>
    <w:rsid w:val="00163414"/>
    <w:rsid w:val="00163705"/>
    <w:rsid w:val="00164891"/>
    <w:rsid w:val="00165376"/>
    <w:rsid w:val="00165645"/>
    <w:rsid w:val="00165F72"/>
    <w:rsid w:val="00166A86"/>
    <w:rsid w:val="00166E6A"/>
    <w:rsid w:val="00167A36"/>
    <w:rsid w:val="001708FA"/>
    <w:rsid w:val="001711E8"/>
    <w:rsid w:val="00171EB4"/>
    <w:rsid w:val="001721AE"/>
    <w:rsid w:val="001723C7"/>
    <w:rsid w:val="0017349B"/>
    <w:rsid w:val="00174FF8"/>
    <w:rsid w:val="00175320"/>
    <w:rsid w:val="00180389"/>
    <w:rsid w:val="00180767"/>
    <w:rsid w:val="00183B60"/>
    <w:rsid w:val="00183E8F"/>
    <w:rsid w:val="00186D8E"/>
    <w:rsid w:val="001953FE"/>
    <w:rsid w:val="001972A1"/>
    <w:rsid w:val="001A1839"/>
    <w:rsid w:val="001A34EC"/>
    <w:rsid w:val="001A5A46"/>
    <w:rsid w:val="001A7109"/>
    <w:rsid w:val="001B1915"/>
    <w:rsid w:val="001B1BD7"/>
    <w:rsid w:val="001B2CA4"/>
    <w:rsid w:val="001B37BE"/>
    <w:rsid w:val="001B5781"/>
    <w:rsid w:val="001B5A47"/>
    <w:rsid w:val="001B5DC6"/>
    <w:rsid w:val="001C0AB6"/>
    <w:rsid w:val="001C1AA2"/>
    <w:rsid w:val="001C20B1"/>
    <w:rsid w:val="001C38F2"/>
    <w:rsid w:val="001C662D"/>
    <w:rsid w:val="001C7B29"/>
    <w:rsid w:val="001D114B"/>
    <w:rsid w:val="001D1865"/>
    <w:rsid w:val="001D2451"/>
    <w:rsid w:val="001D2FB9"/>
    <w:rsid w:val="001D32F8"/>
    <w:rsid w:val="001D396C"/>
    <w:rsid w:val="001D5C09"/>
    <w:rsid w:val="001D602F"/>
    <w:rsid w:val="001E12B7"/>
    <w:rsid w:val="001E34DA"/>
    <w:rsid w:val="001E414A"/>
    <w:rsid w:val="001E5056"/>
    <w:rsid w:val="001E62E8"/>
    <w:rsid w:val="001F1D16"/>
    <w:rsid w:val="001F3DA2"/>
    <w:rsid w:val="001F3E3B"/>
    <w:rsid w:val="001F401C"/>
    <w:rsid w:val="001F4549"/>
    <w:rsid w:val="001F6892"/>
    <w:rsid w:val="002009E9"/>
    <w:rsid w:val="002022FC"/>
    <w:rsid w:val="0020410C"/>
    <w:rsid w:val="00204E17"/>
    <w:rsid w:val="00205566"/>
    <w:rsid w:val="00205D9C"/>
    <w:rsid w:val="00207E50"/>
    <w:rsid w:val="002100E2"/>
    <w:rsid w:val="00211E20"/>
    <w:rsid w:val="00213727"/>
    <w:rsid w:val="0021372A"/>
    <w:rsid w:val="00216E6F"/>
    <w:rsid w:val="00217FD0"/>
    <w:rsid w:val="00222FD3"/>
    <w:rsid w:val="00223961"/>
    <w:rsid w:val="00223C64"/>
    <w:rsid w:val="00223FCD"/>
    <w:rsid w:val="00225004"/>
    <w:rsid w:val="002259D9"/>
    <w:rsid w:val="00226DC6"/>
    <w:rsid w:val="00230C5A"/>
    <w:rsid w:val="00232F54"/>
    <w:rsid w:val="00233376"/>
    <w:rsid w:val="00233652"/>
    <w:rsid w:val="002345D5"/>
    <w:rsid w:val="0023634E"/>
    <w:rsid w:val="00236A80"/>
    <w:rsid w:val="00236FFB"/>
    <w:rsid w:val="00237A39"/>
    <w:rsid w:val="00237EFA"/>
    <w:rsid w:val="00240312"/>
    <w:rsid w:val="00241168"/>
    <w:rsid w:val="002416A0"/>
    <w:rsid w:val="002416C8"/>
    <w:rsid w:val="002419AD"/>
    <w:rsid w:val="00242208"/>
    <w:rsid w:val="00242789"/>
    <w:rsid w:val="002432E7"/>
    <w:rsid w:val="00243E48"/>
    <w:rsid w:val="00243FBF"/>
    <w:rsid w:val="00245FA6"/>
    <w:rsid w:val="00250A24"/>
    <w:rsid w:val="0025257C"/>
    <w:rsid w:val="0025363B"/>
    <w:rsid w:val="002538DD"/>
    <w:rsid w:val="00254458"/>
    <w:rsid w:val="0025621B"/>
    <w:rsid w:val="002572AA"/>
    <w:rsid w:val="002573B3"/>
    <w:rsid w:val="00260B49"/>
    <w:rsid w:val="00261343"/>
    <w:rsid w:val="002621D9"/>
    <w:rsid w:val="00262B06"/>
    <w:rsid w:val="00265CEE"/>
    <w:rsid w:val="002663BB"/>
    <w:rsid w:val="00266487"/>
    <w:rsid w:val="0027082D"/>
    <w:rsid w:val="00270D20"/>
    <w:rsid w:val="00275459"/>
    <w:rsid w:val="00277425"/>
    <w:rsid w:val="00277A87"/>
    <w:rsid w:val="00280418"/>
    <w:rsid w:val="002820AA"/>
    <w:rsid w:val="002825DE"/>
    <w:rsid w:val="00284743"/>
    <w:rsid w:val="002854DA"/>
    <w:rsid w:val="00285970"/>
    <w:rsid w:val="00285C5C"/>
    <w:rsid w:val="002867C9"/>
    <w:rsid w:val="0029264D"/>
    <w:rsid w:val="0029453E"/>
    <w:rsid w:val="00297B7F"/>
    <w:rsid w:val="002A1DE7"/>
    <w:rsid w:val="002A26DF"/>
    <w:rsid w:val="002A310B"/>
    <w:rsid w:val="002A74B3"/>
    <w:rsid w:val="002A759B"/>
    <w:rsid w:val="002B0420"/>
    <w:rsid w:val="002B11FD"/>
    <w:rsid w:val="002B1BD4"/>
    <w:rsid w:val="002B1F39"/>
    <w:rsid w:val="002B31C8"/>
    <w:rsid w:val="002B35D2"/>
    <w:rsid w:val="002B4E02"/>
    <w:rsid w:val="002B4F97"/>
    <w:rsid w:val="002B55DD"/>
    <w:rsid w:val="002C0536"/>
    <w:rsid w:val="002C2F8B"/>
    <w:rsid w:val="002C386F"/>
    <w:rsid w:val="002C3A1D"/>
    <w:rsid w:val="002C4E8F"/>
    <w:rsid w:val="002C4F24"/>
    <w:rsid w:val="002C541C"/>
    <w:rsid w:val="002C5712"/>
    <w:rsid w:val="002C764A"/>
    <w:rsid w:val="002D0E23"/>
    <w:rsid w:val="002D29C0"/>
    <w:rsid w:val="002D2C32"/>
    <w:rsid w:val="002D3C49"/>
    <w:rsid w:val="002D3F29"/>
    <w:rsid w:val="002D54C5"/>
    <w:rsid w:val="002D578C"/>
    <w:rsid w:val="002D6AC5"/>
    <w:rsid w:val="002E06D0"/>
    <w:rsid w:val="002E246F"/>
    <w:rsid w:val="002E6B05"/>
    <w:rsid w:val="002F032E"/>
    <w:rsid w:val="002F052B"/>
    <w:rsid w:val="002F1EAE"/>
    <w:rsid w:val="002F34E6"/>
    <w:rsid w:val="002F35B0"/>
    <w:rsid w:val="002F3BBC"/>
    <w:rsid w:val="002F4202"/>
    <w:rsid w:val="002F546F"/>
    <w:rsid w:val="002F5765"/>
    <w:rsid w:val="002F62DF"/>
    <w:rsid w:val="002F6AA5"/>
    <w:rsid w:val="002F7239"/>
    <w:rsid w:val="00300ED3"/>
    <w:rsid w:val="0030186F"/>
    <w:rsid w:val="0030193F"/>
    <w:rsid w:val="00302068"/>
    <w:rsid w:val="0030214A"/>
    <w:rsid w:val="00303760"/>
    <w:rsid w:val="00303E1F"/>
    <w:rsid w:val="00310C3A"/>
    <w:rsid w:val="00311D69"/>
    <w:rsid w:val="0031257D"/>
    <w:rsid w:val="003133F9"/>
    <w:rsid w:val="0031384A"/>
    <w:rsid w:val="00316396"/>
    <w:rsid w:val="00316BF6"/>
    <w:rsid w:val="00317D39"/>
    <w:rsid w:val="00320C8D"/>
    <w:rsid w:val="00320F6B"/>
    <w:rsid w:val="00325889"/>
    <w:rsid w:val="00330AFA"/>
    <w:rsid w:val="00331069"/>
    <w:rsid w:val="00331890"/>
    <w:rsid w:val="003324A6"/>
    <w:rsid w:val="00332F70"/>
    <w:rsid w:val="00334A16"/>
    <w:rsid w:val="00336CE0"/>
    <w:rsid w:val="003405EA"/>
    <w:rsid w:val="0034065E"/>
    <w:rsid w:val="00340E30"/>
    <w:rsid w:val="0034104C"/>
    <w:rsid w:val="00341AF1"/>
    <w:rsid w:val="003421FF"/>
    <w:rsid w:val="0034221D"/>
    <w:rsid w:val="0034329D"/>
    <w:rsid w:val="003445C3"/>
    <w:rsid w:val="00344A9D"/>
    <w:rsid w:val="00344D4D"/>
    <w:rsid w:val="00345668"/>
    <w:rsid w:val="00345778"/>
    <w:rsid w:val="003462A3"/>
    <w:rsid w:val="00346741"/>
    <w:rsid w:val="00350A83"/>
    <w:rsid w:val="0035534A"/>
    <w:rsid w:val="00356F8C"/>
    <w:rsid w:val="003612CC"/>
    <w:rsid w:val="00361382"/>
    <w:rsid w:val="003618E6"/>
    <w:rsid w:val="00364F75"/>
    <w:rsid w:val="003651B8"/>
    <w:rsid w:val="003653D9"/>
    <w:rsid w:val="00365EE6"/>
    <w:rsid w:val="003710CF"/>
    <w:rsid w:val="0037326B"/>
    <w:rsid w:val="003735C1"/>
    <w:rsid w:val="003748D2"/>
    <w:rsid w:val="00374BCB"/>
    <w:rsid w:val="00375F35"/>
    <w:rsid w:val="00376E00"/>
    <w:rsid w:val="0038189A"/>
    <w:rsid w:val="00383AAF"/>
    <w:rsid w:val="00384B67"/>
    <w:rsid w:val="00384BF8"/>
    <w:rsid w:val="00384D84"/>
    <w:rsid w:val="00384DB7"/>
    <w:rsid w:val="0038501D"/>
    <w:rsid w:val="00385C96"/>
    <w:rsid w:val="00390D33"/>
    <w:rsid w:val="003926D9"/>
    <w:rsid w:val="003929AB"/>
    <w:rsid w:val="00395AF3"/>
    <w:rsid w:val="00396AA9"/>
    <w:rsid w:val="00396F26"/>
    <w:rsid w:val="00396F37"/>
    <w:rsid w:val="003A2433"/>
    <w:rsid w:val="003A3983"/>
    <w:rsid w:val="003A3B0F"/>
    <w:rsid w:val="003A3B8C"/>
    <w:rsid w:val="003A43C0"/>
    <w:rsid w:val="003B078E"/>
    <w:rsid w:val="003B0E16"/>
    <w:rsid w:val="003B1735"/>
    <w:rsid w:val="003B1B14"/>
    <w:rsid w:val="003B1EF0"/>
    <w:rsid w:val="003B2D55"/>
    <w:rsid w:val="003B59CA"/>
    <w:rsid w:val="003B69C6"/>
    <w:rsid w:val="003B75D0"/>
    <w:rsid w:val="003C1164"/>
    <w:rsid w:val="003C2A8F"/>
    <w:rsid w:val="003C3308"/>
    <w:rsid w:val="003C45EE"/>
    <w:rsid w:val="003C6B8F"/>
    <w:rsid w:val="003C70CE"/>
    <w:rsid w:val="003C735A"/>
    <w:rsid w:val="003C76EF"/>
    <w:rsid w:val="003C7B50"/>
    <w:rsid w:val="003D1309"/>
    <w:rsid w:val="003D15CB"/>
    <w:rsid w:val="003D272D"/>
    <w:rsid w:val="003D3368"/>
    <w:rsid w:val="003D422E"/>
    <w:rsid w:val="003D4484"/>
    <w:rsid w:val="003D49CD"/>
    <w:rsid w:val="003D6602"/>
    <w:rsid w:val="003D6604"/>
    <w:rsid w:val="003E0976"/>
    <w:rsid w:val="003E1AA2"/>
    <w:rsid w:val="003E2FAE"/>
    <w:rsid w:val="003E4557"/>
    <w:rsid w:val="003E476D"/>
    <w:rsid w:val="003E5C8D"/>
    <w:rsid w:val="003E6D2F"/>
    <w:rsid w:val="003E7C60"/>
    <w:rsid w:val="003F0393"/>
    <w:rsid w:val="003F150D"/>
    <w:rsid w:val="003F1C8A"/>
    <w:rsid w:val="003F2BCC"/>
    <w:rsid w:val="003F4959"/>
    <w:rsid w:val="003F7722"/>
    <w:rsid w:val="003F7A21"/>
    <w:rsid w:val="003F7C4D"/>
    <w:rsid w:val="00400978"/>
    <w:rsid w:val="004013CE"/>
    <w:rsid w:val="0040178A"/>
    <w:rsid w:val="00401D0F"/>
    <w:rsid w:val="00410128"/>
    <w:rsid w:val="004123E8"/>
    <w:rsid w:val="00412E65"/>
    <w:rsid w:val="00414A61"/>
    <w:rsid w:val="00415530"/>
    <w:rsid w:val="00415FE8"/>
    <w:rsid w:val="00416408"/>
    <w:rsid w:val="00420A4F"/>
    <w:rsid w:val="00424203"/>
    <w:rsid w:val="0042533F"/>
    <w:rsid w:val="004253D3"/>
    <w:rsid w:val="00426A27"/>
    <w:rsid w:val="0043193C"/>
    <w:rsid w:val="00431957"/>
    <w:rsid w:val="00431DAD"/>
    <w:rsid w:val="00431FBD"/>
    <w:rsid w:val="0043251D"/>
    <w:rsid w:val="00433600"/>
    <w:rsid w:val="0043413A"/>
    <w:rsid w:val="004362D9"/>
    <w:rsid w:val="004370E3"/>
    <w:rsid w:val="004408C4"/>
    <w:rsid w:val="00441F86"/>
    <w:rsid w:val="00444258"/>
    <w:rsid w:val="00445CC9"/>
    <w:rsid w:val="00446DEF"/>
    <w:rsid w:val="00447BED"/>
    <w:rsid w:val="0045008A"/>
    <w:rsid w:val="00451B92"/>
    <w:rsid w:val="0045246C"/>
    <w:rsid w:val="004547E4"/>
    <w:rsid w:val="00455D61"/>
    <w:rsid w:val="00457958"/>
    <w:rsid w:val="00461054"/>
    <w:rsid w:val="004613C5"/>
    <w:rsid w:val="0046162F"/>
    <w:rsid w:val="00461B7C"/>
    <w:rsid w:val="00462873"/>
    <w:rsid w:val="004631A3"/>
    <w:rsid w:val="004646AF"/>
    <w:rsid w:val="00464AD2"/>
    <w:rsid w:val="00470773"/>
    <w:rsid w:val="0047341E"/>
    <w:rsid w:val="00476862"/>
    <w:rsid w:val="004779F5"/>
    <w:rsid w:val="00477CFB"/>
    <w:rsid w:val="00477EA9"/>
    <w:rsid w:val="00481A00"/>
    <w:rsid w:val="00481CEA"/>
    <w:rsid w:val="00483D54"/>
    <w:rsid w:val="00483E3C"/>
    <w:rsid w:val="00485DEA"/>
    <w:rsid w:val="00492312"/>
    <w:rsid w:val="00494491"/>
    <w:rsid w:val="004977C8"/>
    <w:rsid w:val="004A22CD"/>
    <w:rsid w:val="004A335C"/>
    <w:rsid w:val="004A3386"/>
    <w:rsid w:val="004A41AC"/>
    <w:rsid w:val="004A6477"/>
    <w:rsid w:val="004A66D3"/>
    <w:rsid w:val="004A6AD9"/>
    <w:rsid w:val="004A70B5"/>
    <w:rsid w:val="004B2156"/>
    <w:rsid w:val="004B23FF"/>
    <w:rsid w:val="004B280C"/>
    <w:rsid w:val="004B28F1"/>
    <w:rsid w:val="004B3324"/>
    <w:rsid w:val="004B3851"/>
    <w:rsid w:val="004B39AD"/>
    <w:rsid w:val="004B3A88"/>
    <w:rsid w:val="004B5006"/>
    <w:rsid w:val="004B6092"/>
    <w:rsid w:val="004C5751"/>
    <w:rsid w:val="004C6A49"/>
    <w:rsid w:val="004D05D3"/>
    <w:rsid w:val="004D111A"/>
    <w:rsid w:val="004D18B8"/>
    <w:rsid w:val="004D2B31"/>
    <w:rsid w:val="004D5879"/>
    <w:rsid w:val="004D5994"/>
    <w:rsid w:val="004D5AFA"/>
    <w:rsid w:val="004D6211"/>
    <w:rsid w:val="004D6F08"/>
    <w:rsid w:val="004D7364"/>
    <w:rsid w:val="004E21B0"/>
    <w:rsid w:val="004E433A"/>
    <w:rsid w:val="004E5D7D"/>
    <w:rsid w:val="004E72A2"/>
    <w:rsid w:val="004F0D1F"/>
    <w:rsid w:val="004F2748"/>
    <w:rsid w:val="004F3CD9"/>
    <w:rsid w:val="004F4BFB"/>
    <w:rsid w:val="004F7C74"/>
    <w:rsid w:val="0050119A"/>
    <w:rsid w:val="00502239"/>
    <w:rsid w:val="00502F00"/>
    <w:rsid w:val="005036F4"/>
    <w:rsid w:val="005038CA"/>
    <w:rsid w:val="00504A76"/>
    <w:rsid w:val="005062AC"/>
    <w:rsid w:val="00511857"/>
    <w:rsid w:val="00511D66"/>
    <w:rsid w:val="0051268A"/>
    <w:rsid w:val="005138F1"/>
    <w:rsid w:val="00513A08"/>
    <w:rsid w:val="00514BA5"/>
    <w:rsid w:val="0051617A"/>
    <w:rsid w:val="00516BAE"/>
    <w:rsid w:val="00521463"/>
    <w:rsid w:val="00523800"/>
    <w:rsid w:val="00523BA5"/>
    <w:rsid w:val="005243E8"/>
    <w:rsid w:val="00530DA4"/>
    <w:rsid w:val="00534996"/>
    <w:rsid w:val="005378AD"/>
    <w:rsid w:val="00541C33"/>
    <w:rsid w:val="00542158"/>
    <w:rsid w:val="00542BB2"/>
    <w:rsid w:val="00543011"/>
    <w:rsid w:val="00543403"/>
    <w:rsid w:val="00544315"/>
    <w:rsid w:val="00546529"/>
    <w:rsid w:val="00546C17"/>
    <w:rsid w:val="00551BB7"/>
    <w:rsid w:val="005521A1"/>
    <w:rsid w:val="00552373"/>
    <w:rsid w:val="005538CF"/>
    <w:rsid w:val="005547F9"/>
    <w:rsid w:val="00555746"/>
    <w:rsid w:val="00556583"/>
    <w:rsid w:val="00560AEB"/>
    <w:rsid w:val="00561481"/>
    <w:rsid w:val="00561EA7"/>
    <w:rsid w:val="0056407B"/>
    <w:rsid w:val="00564C8E"/>
    <w:rsid w:val="00566141"/>
    <w:rsid w:val="00566B3D"/>
    <w:rsid w:val="00567B79"/>
    <w:rsid w:val="0057043E"/>
    <w:rsid w:val="00571E4D"/>
    <w:rsid w:val="005729F1"/>
    <w:rsid w:val="00573224"/>
    <w:rsid w:val="00575FE9"/>
    <w:rsid w:val="00576A80"/>
    <w:rsid w:val="0057701B"/>
    <w:rsid w:val="00580F23"/>
    <w:rsid w:val="005811AE"/>
    <w:rsid w:val="005833C6"/>
    <w:rsid w:val="005834FF"/>
    <w:rsid w:val="00583DDD"/>
    <w:rsid w:val="00584BF8"/>
    <w:rsid w:val="005853EF"/>
    <w:rsid w:val="00585C4D"/>
    <w:rsid w:val="00587EB3"/>
    <w:rsid w:val="005903A7"/>
    <w:rsid w:val="00590CBE"/>
    <w:rsid w:val="00591909"/>
    <w:rsid w:val="0059274F"/>
    <w:rsid w:val="005928BB"/>
    <w:rsid w:val="00593757"/>
    <w:rsid w:val="00593EC8"/>
    <w:rsid w:val="00594124"/>
    <w:rsid w:val="005949BE"/>
    <w:rsid w:val="00596293"/>
    <w:rsid w:val="005A0717"/>
    <w:rsid w:val="005A1C8A"/>
    <w:rsid w:val="005A2230"/>
    <w:rsid w:val="005A4C7C"/>
    <w:rsid w:val="005A544B"/>
    <w:rsid w:val="005A5942"/>
    <w:rsid w:val="005A7392"/>
    <w:rsid w:val="005B00E0"/>
    <w:rsid w:val="005B3415"/>
    <w:rsid w:val="005B4D78"/>
    <w:rsid w:val="005B4FB3"/>
    <w:rsid w:val="005B65F7"/>
    <w:rsid w:val="005B69AE"/>
    <w:rsid w:val="005C1585"/>
    <w:rsid w:val="005C3F57"/>
    <w:rsid w:val="005C6074"/>
    <w:rsid w:val="005D0748"/>
    <w:rsid w:val="005D423F"/>
    <w:rsid w:val="005D456B"/>
    <w:rsid w:val="005D5230"/>
    <w:rsid w:val="005D5C81"/>
    <w:rsid w:val="005D7252"/>
    <w:rsid w:val="005E0C36"/>
    <w:rsid w:val="005E3B53"/>
    <w:rsid w:val="005E3EED"/>
    <w:rsid w:val="005E42EF"/>
    <w:rsid w:val="005E7705"/>
    <w:rsid w:val="005F0654"/>
    <w:rsid w:val="005F0B28"/>
    <w:rsid w:val="005F118B"/>
    <w:rsid w:val="005F3EA8"/>
    <w:rsid w:val="005F4381"/>
    <w:rsid w:val="005F5D17"/>
    <w:rsid w:val="00600499"/>
    <w:rsid w:val="00601617"/>
    <w:rsid w:val="00602919"/>
    <w:rsid w:val="00603BDF"/>
    <w:rsid w:val="00605994"/>
    <w:rsid w:val="00605B4B"/>
    <w:rsid w:val="0060C1DB"/>
    <w:rsid w:val="0061150A"/>
    <w:rsid w:val="00614846"/>
    <w:rsid w:val="00615A42"/>
    <w:rsid w:val="00616EBF"/>
    <w:rsid w:val="00617745"/>
    <w:rsid w:val="0062020A"/>
    <w:rsid w:val="00624A9A"/>
    <w:rsid w:val="00626148"/>
    <w:rsid w:val="006277F4"/>
    <w:rsid w:val="00627A2F"/>
    <w:rsid w:val="00630136"/>
    <w:rsid w:val="006302F4"/>
    <w:rsid w:val="006319D0"/>
    <w:rsid w:val="00636BBA"/>
    <w:rsid w:val="00637A15"/>
    <w:rsid w:val="00641A43"/>
    <w:rsid w:val="00642309"/>
    <w:rsid w:val="00645E36"/>
    <w:rsid w:val="006464A6"/>
    <w:rsid w:val="0064691A"/>
    <w:rsid w:val="00650034"/>
    <w:rsid w:val="00651D73"/>
    <w:rsid w:val="006523F6"/>
    <w:rsid w:val="0065571E"/>
    <w:rsid w:val="0065673A"/>
    <w:rsid w:val="00656780"/>
    <w:rsid w:val="00660D55"/>
    <w:rsid w:val="006634B9"/>
    <w:rsid w:val="00665D8B"/>
    <w:rsid w:val="00672907"/>
    <w:rsid w:val="0067377B"/>
    <w:rsid w:val="00676672"/>
    <w:rsid w:val="0067746D"/>
    <w:rsid w:val="006837CC"/>
    <w:rsid w:val="006848C3"/>
    <w:rsid w:val="00684DBD"/>
    <w:rsid w:val="00685936"/>
    <w:rsid w:val="00687073"/>
    <w:rsid w:val="006876D6"/>
    <w:rsid w:val="00691E55"/>
    <w:rsid w:val="006932C1"/>
    <w:rsid w:val="00697301"/>
    <w:rsid w:val="00697DA3"/>
    <w:rsid w:val="006A0079"/>
    <w:rsid w:val="006A08A5"/>
    <w:rsid w:val="006A3D44"/>
    <w:rsid w:val="006A4AD4"/>
    <w:rsid w:val="006A52A3"/>
    <w:rsid w:val="006A6EC3"/>
    <w:rsid w:val="006A7BCD"/>
    <w:rsid w:val="006A7E42"/>
    <w:rsid w:val="006B190F"/>
    <w:rsid w:val="006B2E08"/>
    <w:rsid w:val="006B3365"/>
    <w:rsid w:val="006B465D"/>
    <w:rsid w:val="006B581B"/>
    <w:rsid w:val="006B6F3F"/>
    <w:rsid w:val="006B7143"/>
    <w:rsid w:val="006B72E3"/>
    <w:rsid w:val="006C0360"/>
    <w:rsid w:val="006C73B5"/>
    <w:rsid w:val="006D0B30"/>
    <w:rsid w:val="006D0C6E"/>
    <w:rsid w:val="006D0FAB"/>
    <w:rsid w:val="006D2486"/>
    <w:rsid w:val="006D2FF9"/>
    <w:rsid w:val="006D537F"/>
    <w:rsid w:val="006D62C9"/>
    <w:rsid w:val="006E0841"/>
    <w:rsid w:val="006E181A"/>
    <w:rsid w:val="006E1D4D"/>
    <w:rsid w:val="006E2224"/>
    <w:rsid w:val="006E300B"/>
    <w:rsid w:val="006E4BA6"/>
    <w:rsid w:val="006E4EA9"/>
    <w:rsid w:val="006E7DE3"/>
    <w:rsid w:val="006F3F0B"/>
    <w:rsid w:val="006F4A69"/>
    <w:rsid w:val="006F4CC8"/>
    <w:rsid w:val="006F7D94"/>
    <w:rsid w:val="006F7EC5"/>
    <w:rsid w:val="007003C4"/>
    <w:rsid w:val="00700416"/>
    <w:rsid w:val="00701827"/>
    <w:rsid w:val="00706EC3"/>
    <w:rsid w:val="00710A8D"/>
    <w:rsid w:val="007114B0"/>
    <w:rsid w:val="00712B16"/>
    <w:rsid w:val="00713BD2"/>
    <w:rsid w:val="00716DCC"/>
    <w:rsid w:val="00720B83"/>
    <w:rsid w:val="007222C0"/>
    <w:rsid w:val="007223AA"/>
    <w:rsid w:val="007229FA"/>
    <w:rsid w:val="007234F2"/>
    <w:rsid w:val="00723507"/>
    <w:rsid w:val="00723600"/>
    <w:rsid w:val="007248B3"/>
    <w:rsid w:val="007254A3"/>
    <w:rsid w:val="0072591A"/>
    <w:rsid w:val="0072601F"/>
    <w:rsid w:val="0072644D"/>
    <w:rsid w:val="00730AB2"/>
    <w:rsid w:val="00730C2D"/>
    <w:rsid w:val="00731A73"/>
    <w:rsid w:val="00731E78"/>
    <w:rsid w:val="007326E2"/>
    <w:rsid w:val="00732853"/>
    <w:rsid w:val="007353B8"/>
    <w:rsid w:val="00735D75"/>
    <w:rsid w:val="00737D90"/>
    <w:rsid w:val="0073AB57"/>
    <w:rsid w:val="00740F8A"/>
    <w:rsid w:val="00741D9D"/>
    <w:rsid w:val="007441C8"/>
    <w:rsid w:val="00745722"/>
    <w:rsid w:val="007468B6"/>
    <w:rsid w:val="00746F97"/>
    <w:rsid w:val="00747947"/>
    <w:rsid w:val="00750534"/>
    <w:rsid w:val="007515A0"/>
    <w:rsid w:val="0075193D"/>
    <w:rsid w:val="00751947"/>
    <w:rsid w:val="00751EAA"/>
    <w:rsid w:val="00752C9A"/>
    <w:rsid w:val="00752EAD"/>
    <w:rsid w:val="007531AB"/>
    <w:rsid w:val="0075416C"/>
    <w:rsid w:val="00755F69"/>
    <w:rsid w:val="00756985"/>
    <w:rsid w:val="00756BDF"/>
    <w:rsid w:val="007575C6"/>
    <w:rsid w:val="0076336D"/>
    <w:rsid w:val="00763C5B"/>
    <w:rsid w:val="00766C21"/>
    <w:rsid w:val="00767256"/>
    <w:rsid w:val="00771C57"/>
    <w:rsid w:val="00772D7D"/>
    <w:rsid w:val="00772F92"/>
    <w:rsid w:val="00774420"/>
    <w:rsid w:val="007746A0"/>
    <w:rsid w:val="00774953"/>
    <w:rsid w:val="007753CE"/>
    <w:rsid w:val="00775957"/>
    <w:rsid w:val="00776F14"/>
    <w:rsid w:val="00776F33"/>
    <w:rsid w:val="007808DC"/>
    <w:rsid w:val="00780B66"/>
    <w:rsid w:val="00781836"/>
    <w:rsid w:val="00781AD2"/>
    <w:rsid w:val="00782551"/>
    <w:rsid w:val="00782582"/>
    <w:rsid w:val="00782F82"/>
    <w:rsid w:val="00785368"/>
    <w:rsid w:val="00785CBF"/>
    <w:rsid w:val="00786695"/>
    <w:rsid w:val="00790979"/>
    <w:rsid w:val="00792469"/>
    <w:rsid w:val="00795288"/>
    <w:rsid w:val="00795438"/>
    <w:rsid w:val="007A1606"/>
    <w:rsid w:val="007A165E"/>
    <w:rsid w:val="007A46AD"/>
    <w:rsid w:val="007A60A7"/>
    <w:rsid w:val="007A682C"/>
    <w:rsid w:val="007B23CE"/>
    <w:rsid w:val="007B35FD"/>
    <w:rsid w:val="007B5A09"/>
    <w:rsid w:val="007B6DEC"/>
    <w:rsid w:val="007B7671"/>
    <w:rsid w:val="007C6F73"/>
    <w:rsid w:val="007D2509"/>
    <w:rsid w:val="007D285F"/>
    <w:rsid w:val="007D603F"/>
    <w:rsid w:val="007D616C"/>
    <w:rsid w:val="007E0E8B"/>
    <w:rsid w:val="007E262C"/>
    <w:rsid w:val="007E4689"/>
    <w:rsid w:val="007E4C01"/>
    <w:rsid w:val="007E5251"/>
    <w:rsid w:val="007E55CE"/>
    <w:rsid w:val="007E6C8D"/>
    <w:rsid w:val="007F1FE7"/>
    <w:rsid w:val="007F2761"/>
    <w:rsid w:val="007F2D90"/>
    <w:rsid w:val="007F391B"/>
    <w:rsid w:val="007F58EB"/>
    <w:rsid w:val="007F5D3F"/>
    <w:rsid w:val="007F60EC"/>
    <w:rsid w:val="00801B60"/>
    <w:rsid w:val="0080568D"/>
    <w:rsid w:val="00807139"/>
    <w:rsid w:val="008137DB"/>
    <w:rsid w:val="0081430A"/>
    <w:rsid w:val="008143BA"/>
    <w:rsid w:val="00814444"/>
    <w:rsid w:val="008149E8"/>
    <w:rsid w:val="00817801"/>
    <w:rsid w:val="00817A26"/>
    <w:rsid w:val="00817A3F"/>
    <w:rsid w:val="008243AA"/>
    <w:rsid w:val="00824C0D"/>
    <w:rsid w:val="00824C37"/>
    <w:rsid w:val="00826FE2"/>
    <w:rsid w:val="00831097"/>
    <w:rsid w:val="00831BDB"/>
    <w:rsid w:val="00831F57"/>
    <w:rsid w:val="0083281C"/>
    <w:rsid w:val="0083369E"/>
    <w:rsid w:val="0083394E"/>
    <w:rsid w:val="0083460C"/>
    <w:rsid w:val="00835C3A"/>
    <w:rsid w:val="00837B89"/>
    <w:rsid w:val="00840797"/>
    <w:rsid w:val="00841313"/>
    <w:rsid w:val="00843EF3"/>
    <w:rsid w:val="00845A5A"/>
    <w:rsid w:val="00853E78"/>
    <w:rsid w:val="0085702E"/>
    <w:rsid w:val="008575F5"/>
    <w:rsid w:val="00857A56"/>
    <w:rsid w:val="0086246A"/>
    <w:rsid w:val="00862A0C"/>
    <w:rsid w:val="00863368"/>
    <w:rsid w:val="008633B0"/>
    <w:rsid w:val="00864980"/>
    <w:rsid w:val="0086515F"/>
    <w:rsid w:val="008662DA"/>
    <w:rsid w:val="008720EA"/>
    <w:rsid w:val="0087667F"/>
    <w:rsid w:val="00876B09"/>
    <w:rsid w:val="008775A0"/>
    <w:rsid w:val="008840AE"/>
    <w:rsid w:val="008853A3"/>
    <w:rsid w:val="00885E6A"/>
    <w:rsid w:val="0088F44E"/>
    <w:rsid w:val="00891887"/>
    <w:rsid w:val="008929EB"/>
    <w:rsid w:val="008935D2"/>
    <w:rsid w:val="00896760"/>
    <w:rsid w:val="008974C1"/>
    <w:rsid w:val="008A07AF"/>
    <w:rsid w:val="008A07E1"/>
    <w:rsid w:val="008A0BE2"/>
    <w:rsid w:val="008A44DD"/>
    <w:rsid w:val="008B09A6"/>
    <w:rsid w:val="008B5E50"/>
    <w:rsid w:val="008B695F"/>
    <w:rsid w:val="008C0A52"/>
    <w:rsid w:val="008C4578"/>
    <w:rsid w:val="008C4B87"/>
    <w:rsid w:val="008C4CA4"/>
    <w:rsid w:val="008C5749"/>
    <w:rsid w:val="008C6608"/>
    <w:rsid w:val="008D0966"/>
    <w:rsid w:val="008D14DB"/>
    <w:rsid w:val="008D1C5E"/>
    <w:rsid w:val="008D5162"/>
    <w:rsid w:val="008D6045"/>
    <w:rsid w:val="008E0422"/>
    <w:rsid w:val="008E42C0"/>
    <w:rsid w:val="008E5357"/>
    <w:rsid w:val="008E5417"/>
    <w:rsid w:val="008E5B82"/>
    <w:rsid w:val="008E5DD5"/>
    <w:rsid w:val="008E60B7"/>
    <w:rsid w:val="008E6B04"/>
    <w:rsid w:val="008F02AA"/>
    <w:rsid w:val="008F05C5"/>
    <w:rsid w:val="008F15D5"/>
    <w:rsid w:val="008F1D34"/>
    <w:rsid w:val="008F25A5"/>
    <w:rsid w:val="008F2636"/>
    <w:rsid w:val="008F45B5"/>
    <w:rsid w:val="008F5036"/>
    <w:rsid w:val="008F5CE6"/>
    <w:rsid w:val="008F5D2A"/>
    <w:rsid w:val="009001D7"/>
    <w:rsid w:val="00900D64"/>
    <w:rsid w:val="0090420B"/>
    <w:rsid w:val="009048D4"/>
    <w:rsid w:val="00907F11"/>
    <w:rsid w:val="0091037D"/>
    <w:rsid w:val="00910BF4"/>
    <w:rsid w:val="00913A26"/>
    <w:rsid w:val="009170D8"/>
    <w:rsid w:val="009171C2"/>
    <w:rsid w:val="0092440D"/>
    <w:rsid w:val="00932DF8"/>
    <w:rsid w:val="00933BEC"/>
    <w:rsid w:val="00934AAF"/>
    <w:rsid w:val="00935F7A"/>
    <w:rsid w:val="00936327"/>
    <w:rsid w:val="00937949"/>
    <w:rsid w:val="00937F9C"/>
    <w:rsid w:val="0094067F"/>
    <w:rsid w:val="009408C8"/>
    <w:rsid w:val="00942250"/>
    <w:rsid w:val="009442AE"/>
    <w:rsid w:val="00944FEC"/>
    <w:rsid w:val="009456C9"/>
    <w:rsid w:val="00946F32"/>
    <w:rsid w:val="00947D9F"/>
    <w:rsid w:val="00951E92"/>
    <w:rsid w:val="00952857"/>
    <w:rsid w:val="00952E0D"/>
    <w:rsid w:val="00960623"/>
    <w:rsid w:val="00961208"/>
    <w:rsid w:val="00961AB5"/>
    <w:rsid w:val="00962020"/>
    <w:rsid w:val="00962388"/>
    <w:rsid w:val="009643D0"/>
    <w:rsid w:val="009648AC"/>
    <w:rsid w:val="00966923"/>
    <w:rsid w:val="00966966"/>
    <w:rsid w:val="009732DF"/>
    <w:rsid w:val="00973B25"/>
    <w:rsid w:val="00973D3F"/>
    <w:rsid w:val="00974CC7"/>
    <w:rsid w:val="00976BD8"/>
    <w:rsid w:val="00977858"/>
    <w:rsid w:val="00980430"/>
    <w:rsid w:val="00981E4C"/>
    <w:rsid w:val="00984A74"/>
    <w:rsid w:val="0098506C"/>
    <w:rsid w:val="00991AEC"/>
    <w:rsid w:val="0099727B"/>
    <w:rsid w:val="009A189D"/>
    <w:rsid w:val="009A38FD"/>
    <w:rsid w:val="009A3A62"/>
    <w:rsid w:val="009A41D4"/>
    <w:rsid w:val="009A65F3"/>
    <w:rsid w:val="009A6F08"/>
    <w:rsid w:val="009A730F"/>
    <w:rsid w:val="009A7C40"/>
    <w:rsid w:val="009A7D2C"/>
    <w:rsid w:val="009B083B"/>
    <w:rsid w:val="009B09E9"/>
    <w:rsid w:val="009B1555"/>
    <w:rsid w:val="009B2E43"/>
    <w:rsid w:val="009B4415"/>
    <w:rsid w:val="009B48C7"/>
    <w:rsid w:val="009B4C39"/>
    <w:rsid w:val="009B51DA"/>
    <w:rsid w:val="009B546F"/>
    <w:rsid w:val="009B5869"/>
    <w:rsid w:val="009B5B7B"/>
    <w:rsid w:val="009B5CA3"/>
    <w:rsid w:val="009B6FCC"/>
    <w:rsid w:val="009C16E6"/>
    <w:rsid w:val="009C25F7"/>
    <w:rsid w:val="009C313F"/>
    <w:rsid w:val="009C44C3"/>
    <w:rsid w:val="009C46A8"/>
    <w:rsid w:val="009C606E"/>
    <w:rsid w:val="009C7B1D"/>
    <w:rsid w:val="009D2D63"/>
    <w:rsid w:val="009D4D57"/>
    <w:rsid w:val="009D4D6C"/>
    <w:rsid w:val="009D67E3"/>
    <w:rsid w:val="009D6B10"/>
    <w:rsid w:val="009D76B7"/>
    <w:rsid w:val="009E4BE2"/>
    <w:rsid w:val="009E4C01"/>
    <w:rsid w:val="009E6B25"/>
    <w:rsid w:val="009F2C6C"/>
    <w:rsid w:val="009F6176"/>
    <w:rsid w:val="009F7759"/>
    <w:rsid w:val="00A00169"/>
    <w:rsid w:val="00A03BDA"/>
    <w:rsid w:val="00A0517B"/>
    <w:rsid w:val="00A0518F"/>
    <w:rsid w:val="00A05B1F"/>
    <w:rsid w:val="00A06AA3"/>
    <w:rsid w:val="00A1088E"/>
    <w:rsid w:val="00A10E3E"/>
    <w:rsid w:val="00A1281D"/>
    <w:rsid w:val="00A13333"/>
    <w:rsid w:val="00A140EC"/>
    <w:rsid w:val="00A16E81"/>
    <w:rsid w:val="00A20741"/>
    <w:rsid w:val="00A21333"/>
    <w:rsid w:val="00A226D6"/>
    <w:rsid w:val="00A23095"/>
    <w:rsid w:val="00A250EC"/>
    <w:rsid w:val="00A25A29"/>
    <w:rsid w:val="00A32710"/>
    <w:rsid w:val="00A332CE"/>
    <w:rsid w:val="00A338B5"/>
    <w:rsid w:val="00A34186"/>
    <w:rsid w:val="00A36F36"/>
    <w:rsid w:val="00A4022C"/>
    <w:rsid w:val="00A40540"/>
    <w:rsid w:val="00A405C8"/>
    <w:rsid w:val="00A4145D"/>
    <w:rsid w:val="00A442AD"/>
    <w:rsid w:val="00A47B0E"/>
    <w:rsid w:val="00A504F0"/>
    <w:rsid w:val="00A50872"/>
    <w:rsid w:val="00A508E7"/>
    <w:rsid w:val="00A51F52"/>
    <w:rsid w:val="00A53799"/>
    <w:rsid w:val="00A657C4"/>
    <w:rsid w:val="00A665AF"/>
    <w:rsid w:val="00A670E5"/>
    <w:rsid w:val="00A719DF"/>
    <w:rsid w:val="00A73BDB"/>
    <w:rsid w:val="00A75711"/>
    <w:rsid w:val="00A76E76"/>
    <w:rsid w:val="00A81066"/>
    <w:rsid w:val="00A81177"/>
    <w:rsid w:val="00A831E6"/>
    <w:rsid w:val="00A851C3"/>
    <w:rsid w:val="00A90CC5"/>
    <w:rsid w:val="00A96C94"/>
    <w:rsid w:val="00AA0AD3"/>
    <w:rsid w:val="00AA0E5C"/>
    <w:rsid w:val="00AA1B2F"/>
    <w:rsid w:val="00AA46DD"/>
    <w:rsid w:val="00AA587A"/>
    <w:rsid w:val="00AA6607"/>
    <w:rsid w:val="00AA663B"/>
    <w:rsid w:val="00AA6714"/>
    <w:rsid w:val="00AA6FF2"/>
    <w:rsid w:val="00AA7894"/>
    <w:rsid w:val="00AB0C16"/>
    <w:rsid w:val="00AB171F"/>
    <w:rsid w:val="00AB1A20"/>
    <w:rsid w:val="00AB1A3C"/>
    <w:rsid w:val="00AB28C7"/>
    <w:rsid w:val="00AB39D4"/>
    <w:rsid w:val="00AB3C91"/>
    <w:rsid w:val="00AC08C2"/>
    <w:rsid w:val="00AC2FED"/>
    <w:rsid w:val="00AC53A6"/>
    <w:rsid w:val="00AC6000"/>
    <w:rsid w:val="00AC776C"/>
    <w:rsid w:val="00AC7CEF"/>
    <w:rsid w:val="00AD03DE"/>
    <w:rsid w:val="00AD34E2"/>
    <w:rsid w:val="00AD47DA"/>
    <w:rsid w:val="00AD4DD3"/>
    <w:rsid w:val="00AD5E7A"/>
    <w:rsid w:val="00AD6BE1"/>
    <w:rsid w:val="00AD702F"/>
    <w:rsid w:val="00AE1393"/>
    <w:rsid w:val="00AE1E89"/>
    <w:rsid w:val="00AE1EA9"/>
    <w:rsid w:val="00AE2752"/>
    <w:rsid w:val="00AE2C24"/>
    <w:rsid w:val="00AE335F"/>
    <w:rsid w:val="00AE417E"/>
    <w:rsid w:val="00AE44DB"/>
    <w:rsid w:val="00AE4E44"/>
    <w:rsid w:val="00AE52DC"/>
    <w:rsid w:val="00AF0EC7"/>
    <w:rsid w:val="00AF1D35"/>
    <w:rsid w:val="00AF2A13"/>
    <w:rsid w:val="00AF2A17"/>
    <w:rsid w:val="00AF5FF9"/>
    <w:rsid w:val="00AF6B1C"/>
    <w:rsid w:val="00B01235"/>
    <w:rsid w:val="00B037AD"/>
    <w:rsid w:val="00B04F1F"/>
    <w:rsid w:val="00B055B8"/>
    <w:rsid w:val="00B07A0E"/>
    <w:rsid w:val="00B10A02"/>
    <w:rsid w:val="00B10DA2"/>
    <w:rsid w:val="00B122DC"/>
    <w:rsid w:val="00B13F66"/>
    <w:rsid w:val="00B14932"/>
    <w:rsid w:val="00B17BB2"/>
    <w:rsid w:val="00B17EB2"/>
    <w:rsid w:val="00B22762"/>
    <w:rsid w:val="00B228AB"/>
    <w:rsid w:val="00B22C31"/>
    <w:rsid w:val="00B23371"/>
    <w:rsid w:val="00B24922"/>
    <w:rsid w:val="00B24963"/>
    <w:rsid w:val="00B26255"/>
    <w:rsid w:val="00B27120"/>
    <w:rsid w:val="00B2772F"/>
    <w:rsid w:val="00B306FE"/>
    <w:rsid w:val="00B3185A"/>
    <w:rsid w:val="00B31B4D"/>
    <w:rsid w:val="00B31EF4"/>
    <w:rsid w:val="00B34877"/>
    <w:rsid w:val="00B35D05"/>
    <w:rsid w:val="00B37320"/>
    <w:rsid w:val="00B40D06"/>
    <w:rsid w:val="00B43769"/>
    <w:rsid w:val="00B50A94"/>
    <w:rsid w:val="00B517E0"/>
    <w:rsid w:val="00B553BA"/>
    <w:rsid w:val="00B555B0"/>
    <w:rsid w:val="00B56C66"/>
    <w:rsid w:val="00B56CE6"/>
    <w:rsid w:val="00B604DB"/>
    <w:rsid w:val="00B60747"/>
    <w:rsid w:val="00B6160F"/>
    <w:rsid w:val="00B624FB"/>
    <w:rsid w:val="00B62FBF"/>
    <w:rsid w:val="00B6799E"/>
    <w:rsid w:val="00B67FB3"/>
    <w:rsid w:val="00B7244C"/>
    <w:rsid w:val="00B72877"/>
    <w:rsid w:val="00B75BC9"/>
    <w:rsid w:val="00B76A17"/>
    <w:rsid w:val="00B801F3"/>
    <w:rsid w:val="00B807BD"/>
    <w:rsid w:val="00B80928"/>
    <w:rsid w:val="00B80D51"/>
    <w:rsid w:val="00B81DC8"/>
    <w:rsid w:val="00B82350"/>
    <w:rsid w:val="00B82978"/>
    <w:rsid w:val="00B872E5"/>
    <w:rsid w:val="00B87A42"/>
    <w:rsid w:val="00B9019B"/>
    <w:rsid w:val="00B9210E"/>
    <w:rsid w:val="00B9436B"/>
    <w:rsid w:val="00B96F0D"/>
    <w:rsid w:val="00B978BA"/>
    <w:rsid w:val="00B97A48"/>
    <w:rsid w:val="00BA2C02"/>
    <w:rsid w:val="00BA499D"/>
    <w:rsid w:val="00BA7509"/>
    <w:rsid w:val="00BAF061"/>
    <w:rsid w:val="00BB10AF"/>
    <w:rsid w:val="00BB1AD6"/>
    <w:rsid w:val="00BB2868"/>
    <w:rsid w:val="00BB292C"/>
    <w:rsid w:val="00BB539A"/>
    <w:rsid w:val="00BB5435"/>
    <w:rsid w:val="00BB5A98"/>
    <w:rsid w:val="00BB64F7"/>
    <w:rsid w:val="00BB678A"/>
    <w:rsid w:val="00BB7869"/>
    <w:rsid w:val="00BC2004"/>
    <w:rsid w:val="00BC201B"/>
    <w:rsid w:val="00BC2BBD"/>
    <w:rsid w:val="00BC3640"/>
    <w:rsid w:val="00BC3F7D"/>
    <w:rsid w:val="00BC5C01"/>
    <w:rsid w:val="00BC763C"/>
    <w:rsid w:val="00BC781F"/>
    <w:rsid w:val="00BD23D5"/>
    <w:rsid w:val="00BD46FC"/>
    <w:rsid w:val="00BD5C05"/>
    <w:rsid w:val="00BD5C21"/>
    <w:rsid w:val="00BD6688"/>
    <w:rsid w:val="00BD6AF5"/>
    <w:rsid w:val="00BE0837"/>
    <w:rsid w:val="00BE0CBA"/>
    <w:rsid w:val="00BE5E7F"/>
    <w:rsid w:val="00BE62C4"/>
    <w:rsid w:val="00BE6AF4"/>
    <w:rsid w:val="00BF1C8A"/>
    <w:rsid w:val="00BF3C1D"/>
    <w:rsid w:val="00BF3C27"/>
    <w:rsid w:val="00BF3DB4"/>
    <w:rsid w:val="00BF5D86"/>
    <w:rsid w:val="00BF63A3"/>
    <w:rsid w:val="00C03F65"/>
    <w:rsid w:val="00C04A06"/>
    <w:rsid w:val="00C05038"/>
    <w:rsid w:val="00C06972"/>
    <w:rsid w:val="00C1213A"/>
    <w:rsid w:val="00C13692"/>
    <w:rsid w:val="00C13FCE"/>
    <w:rsid w:val="00C15834"/>
    <w:rsid w:val="00C17245"/>
    <w:rsid w:val="00C22102"/>
    <w:rsid w:val="00C25313"/>
    <w:rsid w:val="00C25A22"/>
    <w:rsid w:val="00C261C2"/>
    <w:rsid w:val="00C301B6"/>
    <w:rsid w:val="00C31D86"/>
    <w:rsid w:val="00C3209A"/>
    <w:rsid w:val="00C32CED"/>
    <w:rsid w:val="00C32FA9"/>
    <w:rsid w:val="00C33D45"/>
    <w:rsid w:val="00C37E02"/>
    <w:rsid w:val="00C37EA6"/>
    <w:rsid w:val="00C37EB1"/>
    <w:rsid w:val="00C40A6F"/>
    <w:rsid w:val="00C4304B"/>
    <w:rsid w:val="00C47786"/>
    <w:rsid w:val="00C52FBF"/>
    <w:rsid w:val="00C534D4"/>
    <w:rsid w:val="00C55A2A"/>
    <w:rsid w:val="00C60D19"/>
    <w:rsid w:val="00C62654"/>
    <w:rsid w:val="00C634AA"/>
    <w:rsid w:val="00C64447"/>
    <w:rsid w:val="00C65675"/>
    <w:rsid w:val="00C669C3"/>
    <w:rsid w:val="00C67788"/>
    <w:rsid w:val="00C7182C"/>
    <w:rsid w:val="00C73905"/>
    <w:rsid w:val="00C74700"/>
    <w:rsid w:val="00C7674C"/>
    <w:rsid w:val="00C778D1"/>
    <w:rsid w:val="00C80CDD"/>
    <w:rsid w:val="00C80E8B"/>
    <w:rsid w:val="00C81139"/>
    <w:rsid w:val="00C8303B"/>
    <w:rsid w:val="00C838E8"/>
    <w:rsid w:val="00C840E7"/>
    <w:rsid w:val="00C84253"/>
    <w:rsid w:val="00C86CAB"/>
    <w:rsid w:val="00C90F64"/>
    <w:rsid w:val="00C91098"/>
    <w:rsid w:val="00C92B6D"/>
    <w:rsid w:val="00C954A5"/>
    <w:rsid w:val="00CA00C6"/>
    <w:rsid w:val="00CA02A0"/>
    <w:rsid w:val="00CA06D1"/>
    <w:rsid w:val="00CA1106"/>
    <w:rsid w:val="00CA177C"/>
    <w:rsid w:val="00CA1B61"/>
    <w:rsid w:val="00CA1DD4"/>
    <w:rsid w:val="00CA2721"/>
    <w:rsid w:val="00CA29CD"/>
    <w:rsid w:val="00CA2F91"/>
    <w:rsid w:val="00CA487B"/>
    <w:rsid w:val="00CA4F1E"/>
    <w:rsid w:val="00CA6FB7"/>
    <w:rsid w:val="00CA7526"/>
    <w:rsid w:val="00CA774C"/>
    <w:rsid w:val="00CAEF6F"/>
    <w:rsid w:val="00CB0197"/>
    <w:rsid w:val="00CB03DA"/>
    <w:rsid w:val="00CB1CF6"/>
    <w:rsid w:val="00CB2A9E"/>
    <w:rsid w:val="00CB697C"/>
    <w:rsid w:val="00CC0FF7"/>
    <w:rsid w:val="00CC309A"/>
    <w:rsid w:val="00CC3128"/>
    <w:rsid w:val="00CC388C"/>
    <w:rsid w:val="00CC7DF9"/>
    <w:rsid w:val="00CD205C"/>
    <w:rsid w:val="00CD3C11"/>
    <w:rsid w:val="00CD4C26"/>
    <w:rsid w:val="00CD52CE"/>
    <w:rsid w:val="00CD5394"/>
    <w:rsid w:val="00CD58B0"/>
    <w:rsid w:val="00CE0313"/>
    <w:rsid w:val="00CE083D"/>
    <w:rsid w:val="00CE0C0D"/>
    <w:rsid w:val="00CE0FED"/>
    <w:rsid w:val="00CE232C"/>
    <w:rsid w:val="00CE2923"/>
    <w:rsid w:val="00CE2C91"/>
    <w:rsid w:val="00CE5723"/>
    <w:rsid w:val="00CE63B0"/>
    <w:rsid w:val="00CE7DC4"/>
    <w:rsid w:val="00CF07B7"/>
    <w:rsid w:val="00CF0DE7"/>
    <w:rsid w:val="00CF28B8"/>
    <w:rsid w:val="00CF641D"/>
    <w:rsid w:val="00CF6C3C"/>
    <w:rsid w:val="00CF6F67"/>
    <w:rsid w:val="00D01C49"/>
    <w:rsid w:val="00D02EDB"/>
    <w:rsid w:val="00D03CDD"/>
    <w:rsid w:val="00D04E19"/>
    <w:rsid w:val="00D1238A"/>
    <w:rsid w:val="00D13164"/>
    <w:rsid w:val="00D1475C"/>
    <w:rsid w:val="00D14952"/>
    <w:rsid w:val="00D1527B"/>
    <w:rsid w:val="00D15718"/>
    <w:rsid w:val="00D15790"/>
    <w:rsid w:val="00D15F17"/>
    <w:rsid w:val="00D15F24"/>
    <w:rsid w:val="00D17B05"/>
    <w:rsid w:val="00D17C29"/>
    <w:rsid w:val="00D2118D"/>
    <w:rsid w:val="00D21775"/>
    <w:rsid w:val="00D23563"/>
    <w:rsid w:val="00D23BFF"/>
    <w:rsid w:val="00D25196"/>
    <w:rsid w:val="00D254A5"/>
    <w:rsid w:val="00D2665F"/>
    <w:rsid w:val="00D27D49"/>
    <w:rsid w:val="00D3044B"/>
    <w:rsid w:val="00D30662"/>
    <w:rsid w:val="00D340E9"/>
    <w:rsid w:val="00D409F7"/>
    <w:rsid w:val="00D41813"/>
    <w:rsid w:val="00D41CE0"/>
    <w:rsid w:val="00D44B69"/>
    <w:rsid w:val="00D44EC5"/>
    <w:rsid w:val="00D45C24"/>
    <w:rsid w:val="00D46B47"/>
    <w:rsid w:val="00D51081"/>
    <w:rsid w:val="00D52B44"/>
    <w:rsid w:val="00D6074D"/>
    <w:rsid w:val="00D61A47"/>
    <w:rsid w:val="00D64EF1"/>
    <w:rsid w:val="00D6548B"/>
    <w:rsid w:val="00D65F2C"/>
    <w:rsid w:val="00D65F87"/>
    <w:rsid w:val="00D66B76"/>
    <w:rsid w:val="00D67931"/>
    <w:rsid w:val="00D70E59"/>
    <w:rsid w:val="00D71BAE"/>
    <w:rsid w:val="00D71C26"/>
    <w:rsid w:val="00D72CF7"/>
    <w:rsid w:val="00D73D62"/>
    <w:rsid w:val="00D77A08"/>
    <w:rsid w:val="00D77D82"/>
    <w:rsid w:val="00D77F17"/>
    <w:rsid w:val="00D80950"/>
    <w:rsid w:val="00D823A9"/>
    <w:rsid w:val="00D8450D"/>
    <w:rsid w:val="00D86953"/>
    <w:rsid w:val="00D90325"/>
    <w:rsid w:val="00D9465D"/>
    <w:rsid w:val="00D97042"/>
    <w:rsid w:val="00D971E2"/>
    <w:rsid w:val="00DA04AE"/>
    <w:rsid w:val="00DA3987"/>
    <w:rsid w:val="00DA47CD"/>
    <w:rsid w:val="00DA588B"/>
    <w:rsid w:val="00DA6A6A"/>
    <w:rsid w:val="00DA7876"/>
    <w:rsid w:val="00DB07EA"/>
    <w:rsid w:val="00DB2F07"/>
    <w:rsid w:val="00DB713B"/>
    <w:rsid w:val="00DB769C"/>
    <w:rsid w:val="00DC3F70"/>
    <w:rsid w:val="00DC5C35"/>
    <w:rsid w:val="00DD0551"/>
    <w:rsid w:val="00DD0854"/>
    <w:rsid w:val="00DD1485"/>
    <w:rsid w:val="00DD1C60"/>
    <w:rsid w:val="00DD1F25"/>
    <w:rsid w:val="00DD388D"/>
    <w:rsid w:val="00DD4A2C"/>
    <w:rsid w:val="00DD62D4"/>
    <w:rsid w:val="00DD6B87"/>
    <w:rsid w:val="00DD6B9B"/>
    <w:rsid w:val="00DD75C3"/>
    <w:rsid w:val="00DE05AC"/>
    <w:rsid w:val="00DE20EF"/>
    <w:rsid w:val="00DE2769"/>
    <w:rsid w:val="00DE4B81"/>
    <w:rsid w:val="00DE503B"/>
    <w:rsid w:val="00DE575D"/>
    <w:rsid w:val="00DE6714"/>
    <w:rsid w:val="00DE7665"/>
    <w:rsid w:val="00DF0346"/>
    <w:rsid w:val="00DF094C"/>
    <w:rsid w:val="00DF667B"/>
    <w:rsid w:val="00E00C73"/>
    <w:rsid w:val="00E02346"/>
    <w:rsid w:val="00E03B2D"/>
    <w:rsid w:val="00E05684"/>
    <w:rsid w:val="00E070AB"/>
    <w:rsid w:val="00E11AC9"/>
    <w:rsid w:val="00E11E5A"/>
    <w:rsid w:val="00E15096"/>
    <w:rsid w:val="00E15506"/>
    <w:rsid w:val="00E159DE"/>
    <w:rsid w:val="00E21B41"/>
    <w:rsid w:val="00E2250A"/>
    <w:rsid w:val="00E2447E"/>
    <w:rsid w:val="00E252B4"/>
    <w:rsid w:val="00E25D25"/>
    <w:rsid w:val="00E263B3"/>
    <w:rsid w:val="00E26408"/>
    <w:rsid w:val="00E26EA5"/>
    <w:rsid w:val="00E27934"/>
    <w:rsid w:val="00E3139E"/>
    <w:rsid w:val="00E31DD0"/>
    <w:rsid w:val="00E33656"/>
    <w:rsid w:val="00E34DB7"/>
    <w:rsid w:val="00E3542C"/>
    <w:rsid w:val="00E35877"/>
    <w:rsid w:val="00E3712F"/>
    <w:rsid w:val="00E41BEA"/>
    <w:rsid w:val="00E41CF7"/>
    <w:rsid w:val="00E4579D"/>
    <w:rsid w:val="00E45F0E"/>
    <w:rsid w:val="00E466EE"/>
    <w:rsid w:val="00E4686B"/>
    <w:rsid w:val="00E51982"/>
    <w:rsid w:val="00E525AD"/>
    <w:rsid w:val="00E53EDB"/>
    <w:rsid w:val="00E543E5"/>
    <w:rsid w:val="00E54594"/>
    <w:rsid w:val="00E55E17"/>
    <w:rsid w:val="00E57EB3"/>
    <w:rsid w:val="00E61A4A"/>
    <w:rsid w:val="00E63C3A"/>
    <w:rsid w:val="00E64FC1"/>
    <w:rsid w:val="00E665AB"/>
    <w:rsid w:val="00E676A5"/>
    <w:rsid w:val="00E70204"/>
    <w:rsid w:val="00E7048D"/>
    <w:rsid w:val="00E7190E"/>
    <w:rsid w:val="00E771CF"/>
    <w:rsid w:val="00E802AE"/>
    <w:rsid w:val="00E829D8"/>
    <w:rsid w:val="00E82B53"/>
    <w:rsid w:val="00E83785"/>
    <w:rsid w:val="00E8410B"/>
    <w:rsid w:val="00E842D5"/>
    <w:rsid w:val="00E84ED7"/>
    <w:rsid w:val="00E85F41"/>
    <w:rsid w:val="00E86893"/>
    <w:rsid w:val="00E86EFF"/>
    <w:rsid w:val="00E90FC5"/>
    <w:rsid w:val="00E9239A"/>
    <w:rsid w:val="00E92C88"/>
    <w:rsid w:val="00E9368E"/>
    <w:rsid w:val="00E94598"/>
    <w:rsid w:val="00E948A1"/>
    <w:rsid w:val="00E94F92"/>
    <w:rsid w:val="00E950DF"/>
    <w:rsid w:val="00E95844"/>
    <w:rsid w:val="00E95FC9"/>
    <w:rsid w:val="00E9654F"/>
    <w:rsid w:val="00E97518"/>
    <w:rsid w:val="00E97CCD"/>
    <w:rsid w:val="00E97F72"/>
    <w:rsid w:val="00EA2675"/>
    <w:rsid w:val="00EA389E"/>
    <w:rsid w:val="00EA4929"/>
    <w:rsid w:val="00EA5358"/>
    <w:rsid w:val="00EA6045"/>
    <w:rsid w:val="00EA7923"/>
    <w:rsid w:val="00EB18AD"/>
    <w:rsid w:val="00EB2143"/>
    <w:rsid w:val="00EB5193"/>
    <w:rsid w:val="00EB691F"/>
    <w:rsid w:val="00EB6AD1"/>
    <w:rsid w:val="00EC0481"/>
    <w:rsid w:val="00EC397C"/>
    <w:rsid w:val="00EC432C"/>
    <w:rsid w:val="00EC4A39"/>
    <w:rsid w:val="00EC4AE9"/>
    <w:rsid w:val="00EC72F0"/>
    <w:rsid w:val="00EC7D62"/>
    <w:rsid w:val="00ED00C6"/>
    <w:rsid w:val="00ED23C0"/>
    <w:rsid w:val="00ED2CBB"/>
    <w:rsid w:val="00ED2EE5"/>
    <w:rsid w:val="00ED332A"/>
    <w:rsid w:val="00ED3DC8"/>
    <w:rsid w:val="00ED42B9"/>
    <w:rsid w:val="00ED520F"/>
    <w:rsid w:val="00ED6DA0"/>
    <w:rsid w:val="00EE03AA"/>
    <w:rsid w:val="00EE0EED"/>
    <w:rsid w:val="00EE2079"/>
    <w:rsid w:val="00EE34C2"/>
    <w:rsid w:val="00EE3682"/>
    <w:rsid w:val="00EE5696"/>
    <w:rsid w:val="00EE7350"/>
    <w:rsid w:val="00EE7DC8"/>
    <w:rsid w:val="00EF139D"/>
    <w:rsid w:val="00EF1D41"/>
    <w:rsid w:val="00EF23D0"/>
    <w:rsid w:val="00EF3AF8"/>
    <w:rsid w:val="00EF6F46"/>
    <w:rsid w:val="00F01B72"/>
    <w:rsid w:val="00F025B1"/>
    <w:rsid w:val="00F030C9"/>
    <w:rsid w:val="00F03A0F"/>
    <w:rsid w:val="00F05E21"/>
    <w:rsid w:val="00F06E7E"/>
    <w:rsid w:val="00F109C0"/>
    <w:rsid w:val="00F10ED1"/>
    <w:rsid w:val="00F11A4D"/>
    <w:rsid w:val="00F11FC8"/>
    <w:rsid w:val="00F12110"/>
    <w:rsid w:val="00F12A3B"/>
    <w:rsid w:val="00F15554"/>
    <w:rsid w:val="00F1564D"/>
    <w:rsid w:val="00F15687"/>
    <w:rsid w:val="00F1619B"/>
    <w:rsid w:val="00F20749"/>
    <w:rsid w:val="00F23183"/>
    <w:rsid w:val="00F23D97"/>
    <w:rsid w:val="00F23DD5"/>
    <w:rsid w:val="00F3091E"/>
    <w:rsid w:val="00F30A16"/>
    <w:rsid w:val="00F31D98"/>
    <w:rsid w:val="00F33946"/>
    <w:rsid w:val="00F35582"/>
    <w:rsid w:val="00F360C6"/>
    <w:rsid w:val="00F36AC2"/>
    <w:rsid w:val="00F37E7F"/>
    <w:rsid w:val="00F400B3"/>
    <w:rsid w:val="00F401A1"/>
    <w:rsid w:val="00F405C5"/>
    <w:rsid w:val="00F426A7"/>
    <w:rsid w:val="00F4370A"/>
    <w:rsid w:val="00F438B4"/>
    <w:rsid w:val="00F45845"/>
    <w:rsid w:val="00F4586A"/>
    <w:rsid w:val="00F535BE"/>
    <w:rsid w:val="00F54564"/>
    <w:rsid w:val="00F56B86"/>
    <w:rsid w:val="00F63C9C"/>
    <w:rsid w:val="00F654F1"/>
    <w:rsid w:val="00F65A80"/>
    <w:rsid w:val="00F669EB"/>
    <w:rsid w:val="00F67A7E"/>
    <w:rsid w:val="00F704A5"/>
    <w:rsid w:val="00F7078A"/>
    <w:rsid w:val="00F767B5"/>
    <w:rsid w:val="00F778C7"/>
    <w:rsid w:val="00F805C9"/>
    <w:rsid w:val="00F8081D"/>
    <w:rsid w:val="00F815D0"/>
    <w:rsid w:val="00F81AE4"/>
    <w:rsid w:val="00F82D56"/>
    <w:rsid w:val="00F8336A"/>
    <w:rsid w:val="00F833F6"/>
    <w:rsid w:val="00F84115"/>
    <w:rsid w:val="00F84DAD"/>
    <w:rsid w:val="00F91AE9"/>
    <w:rsid w:val="00F92D4E"/>
    <w:rsid w:val="00F949B7"/>
    <w:rsid w:val="00F9514D"/>
    <w:rsid w:val="00FA170B"/>
    <w:rsid w:val="00FA19F4"/>
    <w:rsid w:val="00FA2838"/>
    <w:rsid w:val="00FA34A6"/>
    <w:rsid w:val="00FA519E"/>
    <w:rsid w:val="00FB27EE"/>
    <w:rsid w:val="00FB2BAF"/>
    <w:rsid w:val="00FB4616"/>
    <w:rsid w:val="00FB6B58"/>
    <w:rsid w:val="00FC04BB"/>
    <w:rsid w:val="00FC1A11"/>
    <w:rsid w:val="00FC23A3"/>
    <w:rsid w:val="00FC499B"/>
    <w:rsid w:val="00FC4FD0"/>
    <w:rsid w:val="00FC79B5"/>
    <w:rsid w:val="00FD3A48"/>
    <w:rsid w:val="00FD3B6F"/>
    <w:rsid w:val="00FD4776"/>
    <w:rsid w:val="00FD4E3C"/>
    <w:rsid w:val="00FD6E48"/>
    <w:rsid w:val="00FD7474"/>
    <w:rsid w:val="00FD7D2F"/>
    <w:rsid w:val="00FE5F2B"/>
    <w:rsid w:val="00FE7311"/>
    <w:rsid w:val="00FE77F2"/>
    <w:rsid w:val="00FE7BEE"/>
    <w:rsid w:val="00FF05C4"/>
    <w:rsid w:val="00FF1D41"/>
    <w:rsid w:val="00FF2C74"/>
    <w:rsid w:val="00FF3BA9"/>
    <w:rsid w:val="00FF4846"/>
    <w:rsid w:val="00FF69E1"/>
    <w:rsid w:val="00FF77B9"/>
    <w:rsid w:val="0105F612"/>
    <w:rsid w:val="0152C6E6"/>
    <w:rsid w:val="0175B78C"/>
    <w:rsid w:val="01964B27"/>
    <w:rsid w:val="01B76595"/>
    <w:rsid w:val="026FF8EE"/>
    <w:rsid w:val="028418CC"/>
    <w:rsid w:val="02958408"/>
    <w:rsid w:val="02C58297"/>
    <w:rsid w:val="037A008C"/>
    <w:rsid w:val="03909C1F"/>
    <w:rsid w:val="03BECB5C"/>
    <w:rsid w:val="03C35C0D"/>
    <w:rsid w:val="03FC4EDC"/>
    <w:rsid w:val="0402E05D"/>
    <w:rsid w:val="040405C2"/>
    <w:rsid w:val="0423D955"/>
    <w:rsid w:val="0431A67F"/>
    <w:rsid w:val="04F09AEE"/>
    <w:rsid w:val="052CFE89"/>
    <w:rsid w:val="053A9518"/>
    <w:rsid w:val="05AD4E7A"/>
    <w:rsid w:val="05CBFF20"/>
    <w:rsid w:val="05CE452D"/>
    <w:rsid w:val="062BC05F"/>
    <w:rsid w:val="06651BB6"/>
    <w:rsid w:val="066C0516"/>
    <w:rsid w:val="0677192E"/>
    <w:rsid w:val="06AB7F23"/>
    <w:rsid w:val="06B59A66"/>
    <w:rsid w:val="06BEF7A5"/>
    <w:rsid w:val="06D4CC6E"/>
    <w:rsid w:val="06E0E137"/>
    <w:rsid w:val="06E35F18"/>
    <w:rsid w:val="07204F90"/>
    <w:rsid w:val="0722C8D8"/>
    <w:rsid w:val="073CB77C"/>
    <w:rsid w:val="0748999B"/>
    <w:rsid w:val="075DA3F5"/>
    <w:rsid w:val="0762C970"/>
    <w:rsid w:val="0763B859"/>
    <w:rsid w:val="079E1186"/>
    <w:rsid w:val="07C7F39E"/>
    <w:rsid w:val="07EE9A00"/>
    <w:rsid w:val="07F6EAAD"/>
    <w:rsid w:val="07FE0B3F"/>
    <w:rsid w:val="08295CEA"/>
    <w:rsid w:val="08410745"/>
    <w:rsid w:val="0848890C"/>
    <w:rsid w:val="08A4B378"/>
    <w:rsid w:val="0903F875"/>
    <w:rsid w:val="09241C5B"/>
    <w:rsid w:val="095053F5"/>
    <w:rsid w:val="0967A114"/>
    <w:rsid w:val="09AEB9F0"/>
    <w:rsid w:val="09C6F7C6"/>
    <w:rsid w:val="0A135C15"/>
    <w:rsid w:val="0A1DAEA2"/>
    <w:rsid w:val="0A748749"/>
    <w:rsid w:val="0AA5F678"/>
    <w:rsid w:val="0AC1B94F"/>
    <w:rsid w:val="0AD5D722"/>
    <w:rsid w:val="0B037175"/>
    <w:rsid w:val="0B04C97B"/>
    <w:rsid w:val="0B4B7E7F"/>
    <w:rsid w:val="0B75632E"/>
    <w:rsid w:val="0B950436"/>
    <w:rsid w:val="0BA99E66"/>
    <w:rsid w:val="0BB77779"/>
    <w:rsid w:val="0BC51D1E"/>
    <w:rsid w:val="0BC5F9FC"/>
    <w:rsid w:val="0BCB5001"/>
    <w:rsid w:val="0BE00A73"/>
    <w:rsid w:val="0BEB3D70"/>
    <w:rsid w:val="0C3BF304"/>
    <w:rsid w:val="0C52C8BE"/>
    <w:rsid w:val="0C891891"/>
    <w:rsid w:val="0C9E7A36"/>
    <w:rsid w:val="0CA33A68"/>
    <w:rsid w:val="0CC7C020"/>
    <w:rsid w:val="0D06C7CC"/>
    <w:rsid w:val="0D325AF3"/>
    <w:rsid w:val="0D3B8F36"/>
    <w:rsid w:val="0D5E7803"/>
    <w:rsid w:val="0D8B183C"/>
    <w:rsid w:val="0DC34614"/>
    <w:rsid w:val="0DE427F2"/>
    <w:rsid w:val="0DF34E70"/>
    <w:rsid w:val="0DFEF807"/>
    <w:rsid w:val="0E8EC549"/>
    <w:rsid w:val="0E9F6DD1"/>
    <w:rsid w:val="0EFD2EAD"/>
    <w:rsid w:val="0F0420AE"/>
    <w:rsid w:val="0F46214A"/>
    <w:rsid w:val="0F6821A9"/>
    <w:rsid w:val="0F7E280A"/>
    <w:rsid w:val="0F88BDC6"/>
    <w:rsid w:val="0F90F03C"/>
    <w:rsid w:val="0FD4FE56"/>
    <w:rsid w:val="0FEBDC58"/>
    <w:rsid w:val="102B2672"/>
    <w:rsid w:val="104EE855"/>
    <w:rsid w:val="105C38CF"/>
    <w:rsid w:val="10D2CCE1"/>
    <w:rsid w:val="10E92C46"/>
    <w:rsid w:val="1109819F"/>
    <w:rsid w:val="11327E65"/>
    <w:rsid w:val="11853D5D"/>
    <w:rsid w:val="11B7DA2A"/>
    <w:rsid w:val="11D16DEA"/>
    <w:rsid w:val="12299C34"/>
    <w:rsid w:val="12537F7D"/>
    <w:rsid w:val="126DE12A"/>
    <w:rsid w:val="1280F62C"/>
    <w:rsid w:val="129F6646"/>
    <w:rsid w:val="1355DD41"/>
    <w:rsid w:val="136026C6"/>
    <w:rsid w:val="138352EE"/>
    <w:rsid w:val="13BAF055"/>
    <w:rsid w:val="13C468AB"/>
    <w:rsid w:val="1422D9E8"/>
    <w:rsid w:val="14578B1F"/>
    <w:rsid w:val="1461114F"/>
    <w:rsid w:val="14E9DBC7"/>
    <w:rsid w:val="14EB2908"/>
    <w:rsid w:val="154B0FD9"/>
    <w:rsid w:val="159690E5"/>
    <w:rsid w:val="15D6E8A8"/>
    <w:rsid w:val="15DD0999"/>
    <w:rsid w:val="1637A890"/>
    <w:rsid w:val="165C096F"/>
    <w:rsid w:val="1674B1C9"/>
    <w:rsid w:val="16A7C575"/>
    <w:rsid w:val="16CAC723"/>
    <w:rsid w:val="16D007A5"/>
    <w:rsid w:val="1789E9E7"/>
    <w:rsid w:val="1791F2DE"/>
    <w:rsid w:val="17B2C512"/>
    <w:rsid w:val="1807EBE6"/>
    <w:rsid w:val="1808C33A"/>
    <w:rsid w:val="182E1BA2"/>
    <w:rsid w:val="183873B0"/>
    <w:rsid w:val="1897846A"/>
    <w:rsid w:val="190EA5CB"/>
    <w:rsid w:val="198B5AEB"/>
    <w:rsid w:val="19BC601D"/>
    <w:rsid w:val="19C6BD2A"/>
    <w:rsid w:val="19E20210"/>
    <w:rsid w:val="19E26E9A"/>
    <w:rsid w:val="1A5310FE"/>
    <w:rsid w:val="1A6D47DE"/>
    <w:rsid w:val="1A80C915"/>
    <w:rsid w:val="1A92DEA7"/>
    <w:rsid w:val="1A96F59F"/>
    <w:rsid w:val="1B28EE03"/>
    <w:rsid w:val="1B331ED2"/>
    <w:rsid w:val="1B414AF6"/>
    <w:rsid w:val="1B5D6101"/>
    <w:rsid w:val="1B64D00D"/>
    <w:rsid w:val="1BDD376F"/>
    <w:rsid w:val="1C010321"/>
    <w:rsid w:val="1C1A93A1"/>
    <w:rsid w:val="1C4584F6"/>
    <w:rsid w:val="1CC89017"/>
    <w:rsid w:val="1CF4EDAC"/>
    <w:rsid w:val="1D3BD533"/>
    <w:rsid w:val="1E18549E"/>
    <w:rsid w:val="1E1E2321"/>
    <w:rsid w:val="1E3E3E81"/>
    <w:rsid w:val="1EA736AF"/>
    <w:rsid w:val="1EE021B9"/>
    <w:rsid w:val="1F069B27"/>
    <w:rsid w:val="1F136C6F"/>
    <w:rsid w:val="1FCB7DA3"/>
    <w:rsid w:val="1FCFD9CF"/>
    <w:rsid w:val="1FD16EB8"/>
    <w:rsid w:val="2001B837"/>
    <w:rsid w:val="2018D454"/>
    <w:rsid w:val="202D3A10"/>
    <w:rsid w:val="20370681"/>
    <w:rsid w:val="20452627"/>
    <w:rsid w:val="20495BB0"/>
    <w:rsid w:val="20DB6860"/>
    <w:rsid w:val="21310690"/>
    <w:rsid w:val="213F3938"/>
    <w:rsid w:val="2149B600"/>
    <w:rsid w:val="21982F87"/>
    <w:rsid w:val="21AA564B"/>
    <w:rsid w:val="21DA9BF0"/>
    <w:rsid w:val="21ED807F"/>
    <w:rsid w:val="235F06F0"/>
    <w:rsid w:val="23789E9E"/>
    <w:rsid w:val="23B3448D"/>
    <w:rsid w:val="23B50ACB"/>
    <w:rsid w:val="23BC3B29"/>
    <w:rsid w:val="23F06F6E"/>
    <w:rsid w:val="2412D242"/>
    <w:rsid w:val="24541DAE"/>
    <w:rsid w:val="245E975B"/>
    <w:rsid w:val="2489304A"/>
    <w:rsid w:val="24F08AE5"/>
    <w:rsid w:val="24F5FA05"/>
    <w:rsid w:val="256CDB54"/>
    <w:rsid w:val="2575A869"/>
    <w:rsid w:val="258E8B34"/>
    <w:rsid w:val="2599AFA9"/>
    <w:rsid w:val="259F9FE7"/>
    <w:rsid w:val="26272A2F"/>
    <w:rsid w:val="264EE92C"/>
    <w:rsid w:val="26794987"/>
    <w:rsid w:val="26ACE331"/>
    <w:rsid w:val="26B583CE"/>
    <w:rsid w:val="26CCB9E4"/>
    <w:rsid w:val="27EC19DB"/>
    <w:rsid w:val="27F76B9C"/>
    <w:rsid w:val="280EC541"/>
    <w:rsid w:val="285232B7"/>
    <w:rsid w:val="2869FB31"/>
    <w:rsid w:val="28ABA49F"/>
    <w:rsid w:val="29890777"/>
    <w:rsid w:val="298F7220"/>
    <w:rsid w:val="29D77771"/>
    <w:rsid w:val="29DB26A2"/>
    <w:rsid w:val="29DF6A07"/>
    <w:rsid w:val="2B0F3F5C"/>
    <w:rsid w:val="2B551DF0"/>
    <w:rsid w:val="2B7B3A68"/>
    <w:rsid w:val="2BE59589"/>
    <w:rsid w:val="2BFED12D"/>
    <w:rsid w:val="2C18B301"/>
    <w:rsid w:val="2CE2C2CC"/>
    <w:rsid w:val="2D4A4594"/>
    <w:rsid w:val="2D55B582"/>
    <w:rsid w:val="2DA3F897"/>
    <w:rsid w:val="2E88AFDF"/>
    <w:rsid w:val="2E8E08E1"/>
    <w:rsid w:val="2F417FFE"/>
    <w:rsid w:val="2F57E918"/>
    <w:rsid w:val="2F9693F1"/>
    <w:rsid w:val="2FB41EDF"/>
    <w:rsid w:val="2FDFC29D"/>
    <w:rsid w:val="2FFE09B2"/>
    <w:rsid w:val="3033135E"/>
    <w:rsid w:val="3041EC3F"/>
    <w:rsid w:val="304EAB8B"/>
    <w:rsid w:val="30761B80"/>
    <w:rsid w:val="313C67D3"/>
    <w:rsid w:val="313F4B5E"/>
    <w:rsid w:val="31443E7E"/>
    <w:rsid w:val="3199ADE8"/>
    <w:rsid w:val="31E4C7A1"/>
    <w:rsid w:val="31E50E49"/>
    <w:rsid w:val="31F54955"/>
    <w:rsid w:val="31F9FBEE"/>
    <w:rsid w:val="32371A68"/>
    <w:rsid w:val="32A2D142"/>
    <w:rsid w:val="32CDB1AB"/>
    <w:rsid w:val="330876E5"/>
    <w:rsid w:val="338E39D3"/>
    <w:rsid w:val="347A3E4B"/>
    <w:rsid w:val="3498D04F"/>
    <w:rsid w:val="34C14100"/>
    <w:rsid w:val="34DC99DA"/>
    <w:rsid w:val="351A4494"/>
    <w:rsid w:val="351D50D6"/>
    <w:rsid w:val="35BE7F7C"/>
    <w:rsid w:val="35D9510A"/>
    <w:rsid w:val="35F3747D"/>
    <w:rsid w:val="3601216A"/>
    <w:rsid w:val="3615DFA1"/>
    <w:rsid w:val="3647C349"/>
    <w:rsid w:val="367D8095"/>
    <w:rsid w:val="36C0763B"/>
    <w:rsid w:val="370F871A"/>
    <w:rsid w:val="374BE01F"/>
    <w:rsid w:val="379A2596"/>
    <w:rsid w:val="37A37AE3"/>
    <w:rsid w:val="37CE2C3E"/>
    <w:rsid w:val="37F1CD8D"/>
    <w:rsid w:val="3839AD84"/>
    <w:rsid w:val="385F5A52"/>
    <w:rsid w:val="3895922E"/>
    <w:rsid w:val="38A53138"/>
    <w:rsid w:val="39497496"/>
    <w:rsid w:val="399C7F2E"/>
    <w:rsid w:val="39DD26A1"/>
    <w:rsid w:val="39DFACD2"/>
    <w:rsid w:val="3A22C9B7"/>
    <w:rsid w:val="3A286D9E"/>
    <w:rsid w:val="3A409761"/>
    <w:rsid w:val="3A80FAC9"/>
    <w:rsid w:val="3ABFE07E"/>
    <w:rsid w:val="3AD54253"/>
    <w:rsid w:val="3B5B9A12"/>
    <w:rsid w:val="3B742A08"/>
    <w:rsid w:val="3B863A56"/>
    <w:rsid w:val="3B9B53D0"/>
    <w:rsid w:val="3BD0B0FE"/>
    <w:rsid w:val="3BDC67C2"/>
    <w:rsid w:val="3BF93A2F"/>
    <w:rsid w:val="3C4F7842"/>
    <w:rsid w:val="3C4FD436"/>
    <w:rsid w:val="3C5B6B94"/>
    <w:rsid w:val="3C71D0BD"/>
    <w:rsid w:val="3C78972E"/>
    <w:rsid w:val="3C7E4759"/>
    <w:rsid w:val="3CC82108"/>
    <w:rsid w:val="3CE80CDC"/>
    <w:rsid w:val="3CF1EB5C"/>
    <w:rsid w:val="3D45C536"/>
    <w:rsid w:val="3E56C7F4"/>
    <w:rsid w:val="3E870A7C"/>
    <w:rsid w:val="3ED0751F"/>
    <w:rsid w:val="3F14DF53"/>
    <w:rsid w:val="3F5E56CC"/>
    <w:rsid w:val="3F9C2FF7"/>
    <w:rsid w:val="3F9D38C9"/>
    <w:rsid w:val="3FAB38EE"/>
    <w:rsid w:val="3FF29855"/>
    <w:rsid w:val="401ECD89"/>
    <w:rsid w:val="40262BDA"/>
    <w:rsid w:val="405B1860"/>
    <w:rsid w:val="40F7961F"/>
    <w:rsid w:val="410E798F"/>
    <w:rsid w:val="4111DD4B"/>
    <w:rsid w:val="418FA0E9"/>
    <w:rsid w:val="41A6D8FF"/>
    <w:rsid w:val="41A918D3"/>
    <w:rsid w:val="41BB72AE"/>
    <w:rsid w:val="41D5F202"/>
    <w:rsid w:val="4307E302"/>
    <w:rsid w:val="43313F24"/>
    <w:rsid w:val="433DD15E"/>
    <w:rsid w:val="435BA79E"/>
    <w:rsid w:val="4366818D"/>
    <w:rsid w:val="43A45D9D"/>
    <w:rsid w:val="43C9F442"/>
    <w:rsid w:val="4419CAB3"/>
    <w:rsid w:val="442437FE"/>
    <w:rsid w:val="443AE212"/>
    <w:rsid w:val="4440A452"/>
    <w:rsid w:val="4442CF98"/>
    <w:rsid w:val="447B638A"/>
    <w:rsid w:val="4497B406"/>
    <w:rsid w:val="44982090"/>
    <w:rsid w:val="449C68CE"/>
    <w:rsid w:val="449C8E4F"/>
    <w:rsid w:val="44F2BDA4"/>
    <w:rsid w:val="45157CA8"/>
    <w:rsid w:val="4534F177"/>
    <w:rsid w:val="45523E21"/>
    <w:rsid w:val="45A9C9C7"/>
    <w:rsid w:val="45DE9FF9"/>
    <w:rsid w:val="45E25DFD"/>
    <w:rsid w:val="45F6FCB8"/>
    <w:rsid w:val="45FF6F97"/>
    <w:rsid w:val="460C85D8"/>
    <w:rsid w:val="461A5132"/>
    <w:rsid w:val="4625C7F2"/>
    <w:rsid w:val="465E2387"/>
    <w:rsid w:val="46FDC1DD"/>
    <w:rsid w:val="47465574"/>
    <w:rsid w:val="47CFF05D"/>
    <w:rsid w:val="4839CD7F"/>
    <w:rsid w:val="48417239"/>
    <w:rsid w:val="48C4F866"/>
    <w:rsid w:val="48D8E660"/>
    <w:rsid w:val="495A08BA"/>
    <w:rsid w:val="496322E0"/>
    <w:rsid w:val="49698D2A"/>
    <w:rsid w:val="49954DD0"/>
    <w:rsid w:val="4A38FD5F"/>
    <w:rsid w:val="4A39E863"/>
    <w:rsid w:val="4A407187"/>
    <w:rsid w:val="4A49EFCC"/>
    <w:rsid w:val="4A5C9EA3"/>
    <w:rsid w:val="4A89D6E2"/>
    <w:rsid w:val="4AA8B10D"/>
    <w:rsid w:val="4AFAA8B6"/>
    <w:rsid w:val="4B07911F"/>
    <w:rsid w:val="4B543744"/>
    <w:rsid w:val="4B8B3581"/>
    <w:rsid w:val="4BA6FD52"/>
    <w:rsid w:val="4BE3B116"/>
    <w:rsid w:val="4C4DE17D"/>
    <w:rsid w:val="4C65F275"/>
    <w:rsid w:val="4C94AF07"/>
    <w:rsid w:val="4CAD0D78"/>
    <w:rsid w:val="4D29025A"/>
    <w:rsid w:val="4D30E991"/>
    <w:rsid w:val="4D8496A5"/>
    <w:rsid w:val="4D9482AF"/>
    <w:rsid w:val="4D9FAA72"/>
    <w:rsid w:val="4DC61683"/>
    <w:rsid w:val="4DD5627B"/>
    <w:rsid w:val="4DDA3231"/>
    <w:rsid w:val="4DECF4FA"/>
    <w:rsid w:val="4DFB3CF5"/>
    <w:rsid w:val="4E2A4F78"/>
    <w:rsid w:val="4E3CAF8D"/>
    <w:rsid w:val="4E555D0E"/>
    <w:rsid w:val="4E61A668"/>
    <w:rsid w:val="4E63BF2E"/>
    <w:rsid w:val="4E87B07A"/>
    <w:rsid w:val="4EA2A95A"/>
    <w:rsid w:val="4EA77AB0"/>
    <w:rsid w:val="4ED8DD52"/>
    <w:rsid w:val="4EF105E2"/>
    <w:rsid w:val="4F40DD14"/>
    <w:rsid w:val="4F953D2C"/>
    <w:rsid w:val="4FB8980C"/>
    <w:rsid w:val="4FDB30D0"/>
    <w:rsid w:val="4FFA2D5B"/>
    <w:rsid w:val="5080B3B5"/>
    <w:rsid w:val="50E5DF0C"/>
    <w:rsid w:val="5129333E"/>
    <w:rsid w:val="516FAF5F"/>
    <w:rsid w:val="51854079"/>
    <w:rsid w:val="51DDF044"/>
    <w:rsid w:val="5222CD70"/>
    <w:rsid w:val="5247A891"/>
    <w:rsid w:val="528756C6"/>
    <w:rsid w:val="529987A6"/>
    <w:rsid w:val="5308C106"/>
    <w:rsid w:val="53545057"/>
    <w:rsid w:val="53669A25"/>
    <w:rsid w:val="5391A694"/>
    <w:rsid w:val="5421336B"/>
    <w:rsid w:val="54874760"/>
    <w:rsid w:val="5490E5DC"/>
    <w:rsid w:val="54951BFD"/>
    <w:rsid w:val="549B563F"/>
    <w:rsid w:val="54A49167"/>
    <w:rsid w:val="54DD1490"/>
    <w:rsid w:val="5516D0E9"/>
    <w:rsid w:val="55AF160F"/>
    <w:rsid w:val="55DEEDBF"/>
    <w:rsid w:val="55FDFC73"/>
    <w:rsid w:val="56780CE6"/>
    <w:rsid w:val="568378FB"/>
    <w:rsid w:val="56923C2B"/>
    <w:rsid w:val="572B6FE0"/>
    <w:rsid w:val="5743FA63"/>
    <w:rsid w:val="57B30A94"/>
    <w:rsid w:val="57F5B696"/>
    <w:rsid w:val="5804B4DC"/>
    <w:rsid w:val="5813A44B"/>
    <w:rsid w:val="5814C5BE"/>
    <w:rsid w:val="58262B31"/>
    <w:rsid w:val="58285A9B"/>
    <w:rsid w:val="583AF7CC"/>
    <w:rsid w:val="5869EC70"/>
    <w:rsid w:val="58803D10"/>
    <w:rsid w:val="59028D67"/>
    <w:rsid w:val="5939F5FC"/>
    <w:rsid w:val="59702C84"/>
    <w:rsid w:val="5978028A"/>
    <w:rsid w:val="59F0C27A"/>
    <w:rsid w:val="59F6443C"/>
    <w:rsid w:val="5AB6ED27"/>
    <w:rsid w:val="5AF96721"/>
    <w:rsid w:val="5B315203"/>
    <w:rsid w:val="5B72BFF4"/>
    <w:rsid w:val="5B7BA685"/>
    <w:rsid w:val="5B9AE1F6"/>
    <w:rsid w:val="5BAC88E7"/>
    <w:rsid w:val="5C0BBC33"/>
    <w:rsid w:val="5C26EBD5"/>
    <w:rsid w:val="5C4ADCEA"/>
    <w:rsid w:val="5C5275D9"/>
    <w:rsid w:val="5C750C3D"/>
    <w:rsid w:val="5C7E6246"/>
    <w:rsid w:val="5C97B67C"/>
    <w:rsid w:val="5CB4CA67"/>
    <w:rsid w:val="5D485948"/>
    <w:rsid w:val="5D509B15"/>
    <w:rsid w:val="5D827AB1"/>
    <w:rsid w:val="5D828A19"/>
    <w:rsid w:val="5D88CCB0"/>
    <w:rsid w:val="5DD3A848"/>
    <w:rsid w:val="5E19ED32"/>
    <w:rsid w:val="5E42D209"/>
    <w:rsid w:val="5E50D9C6"/>
    <w:rsid w:val="5E6B4B40"/>
    <w:rsid w:val="5E82D806"/>
    <w:rsid w:val="5E874658"/>
    <w:rsid w:val="5E900571"/>
    <w:rsid w:val="5EC0407A"/>
    <w:rsid w:val="5F0EE33C"/>
    <w:rsid w:val="5F328496"/>
    <w:rsid w:val="5F3497E3"/>
    <w:rsid w:val="5F417064"/>
    <w:rsid w:val="5F55309D"/>
    <w:rsid w:val="5F9175F0"/>
    <w:rsid w:val="5FB433A0"/>
    <w:rsid w:val="5FB4C17E"/>
    <w:rsid w:val="5FD7BCCB"/>
    <w:rsid w:val="60040C37"/>
    <w:rsid w:val="601F88B7"/>
    <w:rsid w:val="6052E579"/>
    <w:rsid w:val="6109C35B"/>
    <w:rsid w:val="61146F1D"/>
    <w:rsid w:val="61349363"/>
    <w:rsid w:val="61739C3A"/>
    <w:rsid w:val="619D92B2"/>
    <w:rsid w:val="6228F07A"/>
    <w:rsid w:val="6257F676"/>
    <w:rsid w:val="62D063C4"/>
    <w:rsid w:val="62E812F8"/>
    <w:rsid w:val="633EA642"/>
    <w:rsid w:val="6360BF29"/>
    <w:rsid w:val="63ADE161"/>
    <w:rsid w:val="63D82E91"/>
    <w:rsid w:val="63DA1F96"/>
    <w:rsid w:val="63F879B4"/>
    <w:rsid w:val="643E23B4"/>
    <w:rsid w:val="64430D86"/>
    <w:rsid w:val="647A47CE"/>
    <w:rsid w:val="6487210A"/>
    <w:rsid w:val="651E3DEF"/>
    <w:rsid w:val="652D131C"/>
    <w:rsid w:val="653E9BF2"/>
    <w:rsid w:val="657A94DF"/>
    <w:rsid w:val="65861EA1"/>
    <w:rsid w:val="6590E3B7"/>
    <w:rsid w:val="65A9151F"/>
    <w:rsid w:val="65E2CAB9"/>
    <w:rsid w:val="65F9847D"/>
    <w:rsid w:val="6619D1AA"/>
    <w:rsid w:val="6629DBFE"/>
    <w:rsid w:val="6643862D"/>
    <w:rsid w:val="666D5C83"/>
    <w:rsid w:val="66B02036"/>
    <w:rsid w:val="66D9D6F2"/>
    <w:rsid w:val="6722602E"/>
    <w:rsid w:val="67391846"/>
    <w:rsid w:val="676181B3"/>
    <w:rsid w:val="67B0C3F5"/>
    <w:rsid w:val="680781B1"/>
    <w:rsid w:val="683BE74D"/>
    <w:rsid w:val="6865214A"/>
    <w:rsid w:val="68A008D7"/>
    <w:rsid w:val="68C537EF"/>
    <w:rsid w:val="68CA1985"/>
    <w:rsid w:val="68FB744F"/>
    <w:rsid w:val="6903DE8C"/>
    <w:rsid w:val="6940852E"/>
    <w:rsid w:val="695531C3"/>
    <w:rsid w:val="697A6367"/>
    <w:rsid w:val="69C5247A"/>
    <w:rsid w:val="69C9F9E5"/>
    <w:rsid w:val="69F9878A"/>
    <w:rsid w:val="6A008A84"/>
    <w:rsid w:val="6A727082"/>
    <w:rsid w:val="6A7E854D"/>
    <w:rsid w:val="6B121BD1"/>
    <w:rsid w:val="6B45C5FD"/>
    <w:rsid w:val="6B545B65"/>
    <w:rsid w:val="6B7CF094"/>
    <w:rsid w:val="6B937CBE"/>
    <w:rsid w:val="6BC8C99A"/>
    <w:rsid w:val="6C06CB0F"/>
    <w:rsid w:val="6C070D8A"/>
    <w:rsid w:val="6C150F71"/>
    <w:rsid w:val="6C17E124"/>
    <w:rsid w:val="6C1808C6"/>
    <w:rsid w:val="6C26DE29"/>
    <w:rsid w:val="6C38A858"/>
    <w:rsid w:val="6C38C2E8"/>
    <w:rsid w:val="6C804B8F"/>
    <w:rsid w:val="6C8DB294"/>
    <w:rsid w:val="6D39F6CE"/>
    <w:rsid w:val="6D5D05BF"/>
    <w:rsid w:val="6D6AA990"/>
    <w:rsid w:val="6D70010F"/>
    <w:rsid w:val="6DB984BD"/>
    <w:rsid w:val="6DFFCC46"/>
    <w:rsid w:val="6E0DC74E"/>
    <w:rsid w:val="6E15EC8A"/>
    <w:rsid w:val="6E982615"/>
    <w:rsid w:val="6ECBC07A"/>
    <w:rsid w:val="6ECFB69B"/>
    <w:rsid w:val="6F22D7DA"/>
    <w:rsid w:val="6F41483F"/>
    <w:rsid w:val="6F7FBEB7"/>
    <w:rsid w:val="70279CAB"/>
    <w:rsid w:val="7058B988"/>
    <w:rsid w:val="70CD163D"/>
    <w:rsid w:val="70D7F779"/>
    <w:rsid w:val="711A8700"/>
    <w:rsid w:val="71A4024F"/>
    <w:rsid w:val="71DD29BC"/>
    <w:rsid w:val="7209CBBC"/>
    <w:rsid w:val="7230C4E4"/>
    <w:rsid w:val="729A4E55"/>
    <w:rsid w:val="72AA7370"/>
    <w:rsid w:val="731F6366"/>
    <w:rsid w:val="73720376"/>
    <w:rsid w:val="7376069D"/>
    <w:rsid w:val="73A069D0"/>
    <w:rsid w:val="73CF342D"/>
    <w:rsid w:val="73E7398F"/>
    <w:rsid w:val="74296E75"/>
    <w:rsid w:val="7453E8B1"/>
    <w:rsid w:val="750AC5CE"/>
    <w:rsid w:val="75212AA5"/>
    <w:rsid w:val="754DB0CB"/>
    <w:rsid w:val="756A646F"/>
    <w:rsid w:val="758AA1F7"/>
    <w:rsid w:val="75B747AE"/>
    <w:rsid w:val="75CB87F1"/>
    <w:rsid w:val="767867D4"/>
    <w:rsid w:val="76ACDB8B"/>
    <w:rsid w:val="7713D69A"/>
    <w:rsid w:val="771A9A5E"/>
    <w:rsid w:val="774CA5B9"/>
    <w:rsid w:val="77D06499"/>
    <w:rsid w:val="77F0357F"/>
    <w:rsid w:val="782AE586"/>
    <w:rsid w:val="782B24F1"/>
    <w:rsid w:val="78388E56"/>
    <w:rsid w:val="78898630"/>
    <w:rsid w:val="78953F3F"/>
    <w:rsid w:val="789DBBB1"/>
    <w:rsid w:val="78A21057"/>
    <w:rsid w:val="78E87BD1"/>
    <w:rsid w:val="795C3701"/>
    <w:rsid w:val="796003F0"/>
    <w:rsid w:val="796DAF9E"/>
    <w:rsid w:val="79B1BE82"/>
    <w:rsid w:val="79C1011B"/>
    <w:rsid w:val="79C6B5E7"/>
    <w:rsid w:val="7A413136"/>
    <w:rsid w:val="7A612B94"/>
    <w:rsid w:val="7A63C500"/>
    <w:rsid w:val="7AFF5592"/>
    <w:rsid w:val="7B715F37"/>
    <w:rsid w:val="7BE7516C"/>
    <w:rsid w:val="7C018CB8"/>
    <w:rsid w:val="7C46A324"/>
    <w:rsid w:val="7C5A1DDA"/>
    <w:rsid w:val="7C7F051C"/>
    <w:rsid w:val="7C9F8ED2"/>
    <w:rsid w:val="7CD39E08"/>
    <w:rsid w:val="7CF83D20"/>
    <w:rsid w:val="7D158CE4"/>
    <w:rsid w:val="7D3D9810"/>
    <w:rsid w:val="7D6D3DAB"/>
    <w:rsid w:val="7D7161C4"/>
    <w:rsid w:val="7D7ED057"/>
    <w:rsid w:val="7DABAFE7"/>
    <w:rsid w:val="7DF2D9D4"/>
    <w:rsid w:val="7DF5EE3B"/>
    <w:rsid w:val="7E33FDDA"/>
    <w:rsid w:val="7E53DAB6"/>
    <w:rsid w:val="7E71217D"/>
    <w:rsid w:val="7EA8718C"/>
    <w:rsid w:val="7EC9FB81"/>
    <w:rsid w:val="7F943EBD"/>
    <w:rsid w:val="7FBEFD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F05E9"/>
  <w15:chartTrackingRefBased/>
  <w15:docId w15:val="{56AF0DA7-0ADC-4030-AD67-C052F988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922"/>
    <w:pPr>
      <w:spacing w:line="240" w:lineRule="auto"/>
    </w:pPr>
    <w:rPr>
      <w:rFonts w:ascii="Arial" w:hAnsi="Arial"/>
      <w:sz w:val="24"/>
    </w:rPr>
  </w:style>
  <w:style w:type="paragraph" w:styleId="Heading1">
    <w:name w:val="heading 1"/>
    <w:basedOn w:val="Heading2"/>
    <w:next w:val="Normal"/>
    <w:link w:val="Heading1Char"/>
    <w:autoRedefine/>
    <w:uiPriority w:val="9"/>
    <w:qFormat/>
    <w:rsid w:val="00F654F1"/>
    <w:pPr>
      <w:spacing w:before="240"/>
      <w:outlineLvl w:val="0"/>
    </w:pPr>
    <w:rPr>
      <w:rFonts w:eastAsiaTheme="majorEastAsia"/>
      <w:sz w:val="32"/>
      <w:szCs w:val="32"/>
    </w:rPr>
  </w:style>
  <w:style w:type="paragraph" w:styleId="Heading2">
    <w:name w:val="heading 2"/>
    <w:basedOn w:val="Heading3"/>
    <w:next w:val="Normal"/>
    <w:link w:val="Heading2Char"/>
    <w:autoRedefine/>
    <w:uiPriority w:val="9"/>
    <w:unhideWhenUsed/>
    <w:qFormat/>
    <w:rsid w:val="00CA774C"/>
    <w:pPr>
      <w:outlineLvl w:val="1"/>
    </w:pPr>
    <w:rPr>
      <w:rFonts w:eastAsia="Times New Roman" w:cs="Arial"/>
      <w:bCs/>
      <w:color w:val="0E8A38" w:themeColor="accent1"/>
      <w:sz w:val="26"/>
    </w:rPr>
  </w:style>
  <w:style w:type="paragraph" w:styleId="Heading3">
    <w:name w:val="heading 3"/>
    <w:basedOn w:val="Heading4"/>
    <w:next w:val="Normal"/>
    <w:link w:val="Heading3Char"/>
    <w:uiPriority w:val="9"/>
    <w:unhideWhenUsed/>
    <w:qFormat/>
    <w:rsid w:val="00AD4DD3"/>
    <w:pPr>
      <w:outlineLvl w:val="2"/>
    </w:pPr>
    <w:rPr>
      <w:rFonts w:ascii="Arial" w:hAnsi="Arial"/>
      <w:b/>
      <w:i w:val="0"/>
      <w:color w:val="503C69" w:themeColor="accent2" w:themeShade="80"/>
      <w:szCs w:val="24"/>
    </w:rPr>
  </w:style>
  <w:style w:type="paragraph" w:styleId="Heading4">
    <w:name w:val="heading 4"/>
    <w:basedOn w:val="Normal"/>
    <w:next w:val="Normal"/>
    <w:link w:val="Heading4Char"/>
    <w:uiPriority w:val="9"/>
    <w:semiHidden/>
    <w:unhideWhenUsed/>
    <w:qFormat/>
    <w:rsid w:val="00AD4DD3"/>
    <w:pPr>
      <w:keepNext/>
      <w:keepLines/>
      <w:spacing w:before="40" w:after="0"/>
      <w:outlineLvl w:val="3"/>
    </w:pPr>
    <w:rPr>
      <w:rFonts w:asciiTheme="majorHAnsi" w:eastAsiaTheme="majorEastAsia" w:hAnsiTheme="majorHAnsi" w:cstheme="majorBidi"/>
      <w:i/>
      <w:iCs/>
      <w:color w:val="0A672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0C9"/>
    <w:pPr>
      <w:ind w:left="720"/>
      <w:contextualSpacing/>
    </w:pPr>
  </w:style>
  <w:style w:type="paragraph" w:styleId="BalloonText">
    <w:name w:val="Balloon Text"/>
    <w:basedOn w:val="Normal"/>
    <w:link w:val="BalloonTextChar"/>
    <w:uiPriority w:val="99"/>
    <w:semiHidden/>
    <w:unhideWhenUsed/>
    <w:rsid w:val="002804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418"/>
    <w:rPr>
      <w:rFonts w:ascii="Segoe UI" w:hAnsi="Segoe UI" w:cs="Segoe UI"/>
      <w:sz w:val="18"/>
      <w:szCs w:val="18"/>
    </w:rPr>
  </w:style>
  <w:style w:type="paragraph" w:styleId="Header">
    <w:name w:val="header"/>
    <w:basedOn w:val="Normal"/>
    <w:link w:val="HeaderChar"/>
    <w:uiPriority w:val="99"/>
    <w:unhideWhenUsed/>
    <w:rsid w:val="00E57EB3"/>
    <w:pPr>
      <w:tabs>
        <w:tab w:val="center" w:pos="4513"/>
        <w:tab w:val="right" w:pos="9026"/>
      </w:tabs>
      <w:spacing w:after="0"/>
    </w:pPr>
  </w:style>
  <w:style w:type="character" w:customStyle="1" w:styleId="HeaderChar">
    <w:name w:val="Header Char"/>
    <w:basedOn w:val="DefaultParagraphFont"/>
    <w:link w:val="Header"/>
    <w:uiPriority w:val="99"/>
    <w:rsid w:val="00E57EB3"/>
  </w:style>
  <w:style w:type="paragraph" w:styleId="Footer">
    <w:name w:val="footer"/>
    <w:basedOn w:val="Normal"/>
    <w:link w:val="FooterChar"/>
    <w:uiPriority w:val="99"/>
    <w:unhideWhenUsed/>
    <w:rsid w:val="00E57EB3"/>
    <w:pPr>
      <w:tabs>
        <w:tab w:val="center" w:pos="4513"/>
        <w:tab w:val="right" w:pos="9026"/>
      </w:tabs>
      <w:spacing w:after="0"/>
    </w:pPr>
  </w:style>
  <w:style w:type="character" w:customStyle="1" w:styleId="FooterChar">
    <w:name w:val="Footer Char"/>
    <w:basedOn w:val="DefaultParagraphFont"/>
    <w:link w:val="Footer"/>
    <w:uiPriority w:val="99"/>
    <w:rsid w:val="00E57EB3"/>
  </w:style>
  <w:style w:type="character" w:styleId="CommentReference">
    <w:name w:val="annotation reference"/>
    <w:basedOn w:val="DefaultParagraphFont"/>
    <w:uiPriority w:val="99"/>
    <w:semiHidden/>
    <w:unhideWhenUsed/>
    <w:rsid w:val="00103D8B"/>
    <w:rPr>
      <w:sz w:val="16"/>
      <w:szCs w:val="16"/>
    </w:rPr>
  </w:style>
  <w:style w:type="paragraph" w:styleId="CommentText">
    <w:name w:val="annotation text"/>
    <w:basedOn w:val="Normal"/>
    <w:link w:val="CommentTextChar"/>
    <w:uiPriority w:val="99"/>
    <w:semiHidden/>
    <w:unhideWhenUsed/>
    <w:rsid w:val="00103D8B"/>
    <w:rPr>
      <w:sz w:val="20"/>
      <w:szCs w:val="20"/>
    </w:rPr>
  </w:style>
  <w:style w:type="character" w:customStyle="1" w:styleId="CommentTextChar">
    <w:name w:val="Comment Text Char"/>
    <w:basedOn w:val="DefaultParagraphFont"/>
    <w:link w:val="CommentText"/>
    <w:uiPriority w:val="99"/>
    <w:semiHidden/>
    <w:rsid w:val="00103D8B"/>
    <w:rPr>
      <w:sz w:val="20"/>
      <w:szCs w:val="20"/>
    </w:rPr>
  </w:style>
  <w:style w:type="paragraph" w:styleId="CommentSubject">
    <w:name w:val="annotation subject"/>
    <w:basedOn w:val="CommentText"/>
    <w:next w:val="CommentText"/>
    <w:link w:val="CommentSubjectChar"/>
    <w:uiPriority w:val="99"/>
    <w:semiHidden/>
    <w:unhideWhenUsed/>
    <w:rsid w:val="00103D8B"/>
    <w:rPr>
      <w:b/>
      <w:bCs/>
    </w:rPr>
  </w:style>
  <w:style w:type="character" w:customStyle="1" w:styleId="CommentSubjectChar">
    <w:name w:val="Comment Subject Char"/>
    <w:basedOn w:val="CommentTextChar"/>
    <w:link w:val="CommentSubject"/>
    <w:uiPriority w:val="99"/>
    <w:semiHidden/>
    <w:rsid w:val="00103D8B"/>
    <w:rPr>
      <w:b/>
      <w:bCs/>
      <w:sz w:val="20"/>
      <w:szCs w:val="20"/>
    </w:rPr>
  </w:style>
  <w:style w:type="character" w:customStyle="1" w:styleId="Heading2Char">
    <w:name w:val="Heading 2 Char"/>
    <w:basedOn w:val="DefaultParagraphFont"/>
    <w:link w:val="Heading2"/>
    <w:uiPriority w:val="9"/>
    <w:rsid w:val="00CA774C"/>
    <w:rPr>
      <w:rFonts w:ascii="Arial" w:eastAsia="Times New Roman" w:hAnsi="Arial" w:cs="Arial"/>
      <w:b/>
      <w:bCs/>
      <w:iCs/>
      <w:color w:val="0E8A38" w:themeColor="accent1"/>
      <w:sz w:val="26"/>
      <w:szCs w:val="24"/>
    </w:rPr>
  </w:style>
  <w:style w:type="character" w:customStyle="1" w:styleId="Heading3Char">
    <w:name w:val="Heading 3 Char"/>
    <w:basedOn w:val="DefaultParagraphFont"/>
    <w:link w:val="Heading3"/>
    <w:uiPriority w:val="9"/>
    <w:rsid w:val="00AD4DD3"/>
    <w:rPr>
      <w:rFonts w:ascii="Arial" w:eastAsiaTheme="majorEastAsia" w:hAnsi="Arial" w:cstheme="majorBidi"/>
      <w:b/>
      <w:iCs/>
      <w:color w:val="503C69" w:themeColor="accent2" w:themeShade="80"/>
      <w:sz w:val="24"/>
      <w:szCs w:val="24"/>
    </w:rPr>
  </w:style>
  <w:style w:type="character" w:customStyle="1" w:styleId="Heading1Char">
    <w:name w:val="Heading 1 Char"/>
    <w:basedOn w:val="DefaultParagraphFont"/>
    <w:link w:val="Heading1"/>
    <w:uiPriority w:val="9"/>
    <w:rsid w:val="00F654F1"/>
    <w:rPr>
      <w:rFonts w:ascii="Arial" w:eastAsiaTheme="majorEastAsia" w:hAnsi="Arial" w:cs="Arial"/>
      <w:b/>
      <w:bCs/>
      <w:iCs/>
      <w:color w:val="0E8A38" w:themeColor="accent1"/>
      <w:sz w:val="32"/>
      <w:szCs w:val="32"/>
    </w:rPr>
  </w:style>
  <w:style w:type="paragraph" w:styleId="TOCHeading">
    <w:name w:val="TOC Heading"/>
    <w:basedOn w:val="Heading1"/>
    <w:next w:val="Normal"/>
    <w:uiPriority w:val="39"/>
    <w:unhideWhenUsed/>
    <w:qFormat/>
    <w:rsid w:val="00CE0C0D"/>
    <w:pPr>
      <w:outlineLvl w:val="9"/>
    </w:pPr>
    <w:rPr>
      <w:lang w:val="en-US"/>
    </w:rPr>
  </w:style>
  <w:style w:type="paragraph" w:styleId="TOC2">
    <w:name w:val="toc 2"/>
    <w:basedOn w:val="Normal"/>
    <w:next w:val="Normal"/>
    <w:autoRedefine/>
    <w:uiPriority w:val="39"/>
    <w:unhideWhenUsed/>
    <w:rsid w:val="00CE0C0D"/>
    <w:pPr>
      <w:spacing w:after="100"/>
      <w:ind w:left="220"/>
    </w:pPr>
  </w:style>
  <w:style w:type="paragraph" w:styleId="TOC3">
    <w:name w:val="toc 3"/>
    <w:basedOn w:val="Normal"/>
    <w:next w:val="Normal"/>
    <w:autoRedefine/>
    <w:uiPriority w:val="39"/>
    <w:unhideWhenUsed/>
    <w:rsid w:val="00CE0C0D"/>
    <w:pPr>
      <w:spacing w:after="100"/>
      <w:ind w:left="440"/>
    </w:pPr>
  </w:style>
  <w:style w:type="character" w:styleId="Hyperlink">
    <w:name w:val="Hyperlink"/>
    <w:basedOn w:val="DefaultParagraphFont"/>
    <w:uiPriority w:val="99"/>
    <w:unhideWhenUsed/>
    <w:rsid w:val="00CE0C0D"/>
    <w:rPr>
      <w:color w:val="0E8A38" w:themeColor="hyperlink"/>
      <w:u w:val="single"/>
    </w:rPr>
  </w:style>
  <w:style w:type="paragraph" w:styleId="Revision">
    <w:name w:val="Revision"/>
    <w:hidden/>
    <w:uiPriority w:val="99"/>
    <w:semiHidden/>
    <w:rsid w:val="008143BA"/>
    <w:pPr>
      <w:spacing w:after="0" w:line="240" w:lineRule="auto"/>
    </w:pPr>
  </w:style>
  <w:style w:type="paragraph" w:styleId="TOC1">
    <w:name w:val="toc 1"/>
    <w:basedOn w:val="Normal"/>
    <w:next w:val="Normal"/>
    <w:autoRedefine/>
    <w:uiPriority w:val="39"/>
    <w:unhideWhenUsed/>
    <w:rsid w:val="00050A63"/>
    <w:pPr>
      <w:spacing w:after="100"/>
    </w:pPr>
  </w:style>
  <w:style w:type="character" w:styleId="UnresolvedMention">
    <w:name w:val="Unresolved Mention"/>
    <w:basedOn w:val="DefaultParagraphFont"/>
    <w:uiPriority w:val="99"/>
    <w:semiHidden/>
    <w:unhideWhenUsed/>
    <w:rsid w:val="00D51081"/>
    <w:rPr>
      <w:color w:val="605E5C"/>
      <w:shd w:val="clear" w:color="auto" w:fill="E1DFDD"/>
    </w:rPr>
  </w:style>
  <w:style w:type="paragraph" w:styleId="NoSpacing">
    <w:name w:val="No Spacing"/>
    <w:autoRedefine/>
    <w:uiPriority w:val="1"/>
    <w:qFormat/>
    <w:rsid w:val="001C662D"/>
    <w:pPr>
      <w:spacing w:after="0" w:line="240" w:lineRule="auto"/>
    </w:pPr>
    <w:rPr>
      <w:rFonts w:ascii="Arial" w:hAnsi="Arial"/>
      <w:sz w:val="24"/>
    </w:rPr>
  </w:style>
  <w:style w:type="table" w:customStyle="1" w:styleId="TableGrid1">
    <w:name w:val="Table Grid1"/>
    <w:basedOn w:val="TableNormal"/>
    <w:next w:val="TableGrid"/>
    <w:uiPriority w:val="39"/>
    <w:rsid w:val="006E0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E0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2B53"/>
    <w:rPr>
      <w:color w:val="A9C30C" w:themeColor="followedHyperlink"/>
      <w:u w:val="single"/>
    </w:rPr>
  </w:style>
  <w:style w:type="paragraph" w:styleId="FootnoteText">
    <w:name w:val="footnote text"/>
    <w:basedOn w:val="Normal"/>
    <w:link w:val="FootnoteTextChar"/>
    <w:uiPriority w:val="99"/>
    <w:unhideWhenUsed/>
    <w:rsid w:val="008D6045"/>
    <w:pPr>
      <w:spacing w:after="0"/>
    </w:pPr>
    <w:rPr>
      <w:sz w:val="20"/>
      <w:szCs w:val="20"/>
    </w:rPr>
  </w:style>
  <w:style w:type="character" w:customStyle="1" w:styleId="FootnoteTextChar">
    <w:name w:val="Footnote Text Char"/>
    <w:basedOn w:val="DefaultParagraphFont"/>
    <w:link w:val="FootnoteText"/>
    <w:uiPriority w:val="99"/>
    <w:rsid w:val="008D6045"/>
    <w:rPr>
      <w:rFonts w:ascii="Arial" w:hAnsi="Arial"/>
      <w:sz w:val="20"/>
      <w:szCs w:val="20"/>
    </w:rPr>
  </w:style>
  <w:style w:type="character" w:styleId="FootnoteReference">
    <w:name w:val="footnote reference"/>
    <w:basedOn w:val="DefaultParagraphFont"/>
    <w:uiPriority w:val="99"/>
    <w:semiHidden/>
    <w:unhideWhenUsed/>
    <w:rsid w:val="008D6045"/>
    <w:rPr>
      <w:vertAlign w:val="superscript"/>
    </w:rPr>
  </w:style>
  <w:style w:type="paragraph" w:styleId="EndnoteText">
    <w:name w:val="endnote text"/>
    <w:basedOn w:val="Normal"/>
    <w:link w:val="EndnoteTextChar"/>
    <w:uiPriority w:val="99"/>
    <w:semiHidden/>
    <w:unhideWhenUsed/>
    <w:rsid w:val="001B37BE"/>
    <w:pPr>
      <w:spacing w:after="0"/>
    </w:pPr>
    <w:rPr>
      <w:sz w:val="20"/>
      <w:szCs w:val="20"/>
    </w:rPr>
  </w:style>
  <w:style w:type="character" w:customStyle="1" w:styleId="EndnoteTextChar">
    <w:name w:val="Endnote Text Char"/>
    <w:basedOn w:val="DefaultParagraphFont"/>
    <w:link w:val="EndnoteText"/>
    <w:uiPriority w:val="99"/>
    <w:semiHidden/>
    <w:rsid w:val="001B37BE"/>
    <w:rPr>
      <w:rFonts w:ascii="Arial" w:hAnsi="Arial"/>
      <w:sz w:val="20"/>
      <w:szCs w:val="20"/>
    </w:rPr>
  </w:style>
  <w:style w:type="character" w:styleId="EndnoteReference">
    <w:name w:val="endnote reference"/>
    <w:basedOn w:val="DefaultParagraphFont"/>
    <w:uiPriority w:val="99"/>
    <w:semiHidden/>
    <w:unhideWhenUsed/>
    <w:rsid w:val="001B37BE"/>
    <w:rPr>
      <w:vertAlign w:val="superscript"/>
    </w:rPr>
  </w:style>
  <w:style w:type="paragraph" w:styleId="Title">
    <w:name w:val="Title"/>
    <w:basedOn w:val="Normal"/>
    <w:next w:val="Normal"/>
    <w:link w:val="TitleChar"/>
    <w:uiPriority w:val="10"/>
    <w:qFormat/>
    <w:rsid w:val="00400978"/>
    <w:pPr>
      <w:spacing w:after="0"/>
      <w:contextualSpacing/>
    </w:pPr>
    <w:rPr>
      <w:rFonts w:eastAsiaTheme="majorEastAsia" w:cstheme="majorBidi"/>
      <w:b/>
      <w:color w:val="0E8A38" w:themeColor="text2"/>
      <w:spacing w:val="-10"/>
      <w:kern w:val="28"/>
      <w:sz w:val="56"/>
      <w:szCs w:val="56"/>
    </w:rPr>
  </w:style>
  <w:style w:type="character" w:customStyle="1" w:styleId="TitleChar">
    <w:name w:val="Title Char"/>
    <w:basedOn w:val="DefaultParagraphFont"/>
    <w:link w:val="Title"/>
    <w:uiPriority w:val="10"/>
    <w:rsid w:val="00400978"/>
    <w:rPr>
      <w:rFonts w:ascii="Arial" w:eastAsiaTheme="majorEastAsia" w:hAnsi="Arial" w:cstheme="majorBidi"/>
      <w:b/>
      <w:color w:val="0E8A38" w:themeColor="text2"/>
      <w:spacing w:val="-10"/>
      <w:kern w:val="28"/>
      <w:sz w:val="56"/>
      <w:szCs w:val="56"/>
    </w:rPr>
  </w:style>
  <w:style w:type="paragraph" w:customStyle="1" w:styleId="text">
    <w:name w:val="text"/>
    <w:basedOn w:val="Normal"/>
    <w:rsid w:val="00584BF8"/>
    <w:pPr>
      <w:spacing w:before="100" w:beforeAutospacing="1" w:after="100" w:afterAutospacing="1"/>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semiHidden/>
    <w:rsid w:val="00AD4DD3"/>
    <w:rPr>
      <w:rFonts w:asciiTheme="majorHAnsi" w:eastAsiaTheme="majorEastAsia" w:hAnsiTheme="majorHAnsi" w:cstheme="majorBidi"/>
      <w:i/>
      <w:iCs/>
      <w:color w:val="0A6729" w:themeColor="accent1" w:themeShade="BF"/>
      <w:sz w:val="24"/>
    </w:rPr>
  </w:style>
  <w:style w:type="character" w:customStyle="1" w:styleId="author">
    <w:name w:val="author"/>
    <w:basedOn w:val="DefaultParagraphFont"/>
    <w:rsid w:val="00584BF8"/>
  </w:style>
  <w:style w:type="character" w:customStyle="1" w:styleId="Date1">
    <w:name w:val="Date1"/>
    <w:basedOn w:val="DefaultParagraphFont"/>
    <w:rsid w:val="00584BF8"/>
  </w:style>
  <w:style w:type="paragraph" w:styleId="TOC4">
    <w:name w:val="toc 4"/>
    <w:basedOn w:val="Normal"/>
    <w:next w:val="Normal"/>
    <w:autoRedefine/>
    <w:uiPriority w:val="39"/>
    <w:unhideWhenUsed/>
    <w:rsid w:val="00115FE5"/>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115FE5"/>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115FE5"/>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115FE5"/>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115FE5"/>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115FE5"/>
    <w:pPr>
      <w:spacing w:after="100" w:line="259" w:lineRule="auto"/>
      <w:ind w:left="1760"/>
    </w:pPr>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30337">
      <w:bodyDiv w:val="1"/>
      <w:marLeft w:val="0"/>
      <w:marRight w:val="0"/>
      <w:marTop w:val="0"/>
      <w:marBottom w:val="0"/>
      <w:divBdr>
        <w:top w:val="none" w:sz="0" w:space="0" w:color="auto"/>
        <w:left w:val="none" w:sz="0" w:space="0" w:color="auto"/>
        <w:bottom w:val="none" w:sz="0" w:space="0" w:color="auto"/>
        <w:right w:val="none" w:sz="0" w:space="0" w:color="auto"/>
      </w:divBdr>
      <w:divsChild>
        <w:div w:id="1946839416">
          <w:marLeft w:val="0"/>
          <w:marRight w:val="0"/>
          <w:marTop w:val="0"/>
          <w:marBottom w:val="0"/>
          <w:divBdr>
            <w:top w:val="none" w:sz="0" w:space="0" w:color="auto"/>
            <w:left w:val="none" w:sz="0" w:space="0" w:color="auto"/>
            <w:bottom w:val="none" w:sz="0" w:space="0" w:color="auto"/>
            <w:right w:val="none" w:sz="0" w:space="0" w:color="auto"/>
          </w:divBdr>
          <w:divsChild>
            <w:div w:id="1223099245">
              <w:marLeft w:val="0"/>
              <w:marRight w:val="0"/>
              <w:marTop w:val="0"/>
              <w:marBottom w:val="0"/>
              <w:divBdr>
                <w:top w:val="none" w:sz="0" w:space="0" w:color="auto"/>
                <w:left w:val="none" w:sz="0" w:space="0" w:color="auto"/>
                <w:bottom w:val="none" w:sz="0" w:space="0" w:color="auto"/>
                <w:right w:val="none" w:sz="0" w:space="0" w:color="auto"/>
              </w:divBdr>
              <w:divsChild>
                <w:div w:id="745228746">
                  <w:marLeft w:val="0"/>
                  <w:marRight w:val="0"/>
                  <w:marTop w:val="0"/>
                  <w:marBottom w:val="0"/>
                  <w:divBdr>
                    <w:top w:val="none" w:sz="0" w:space="0" w:color="auto"/>
                    <w:left w:val="none" w:sz="0" w:space="0" w:color="auto"/>
                    <w:bottom w:val="none" w:sz="0" w:space="0" w:color="auto"/>
                    <w:right w:val="none" w:sz="0" w:space="0" w:color="auto"/>
                  </w:divBdr>
                </w:div>
                <w:div w:id="1700735087">
                  <w:marLeft w:val="0"/>
                  <w:marRight w:val="0"/>
                  <w:marTop w:val="0"/>
                  <w:marBottom w:val="0"/>
                  <w:divBdr>
                    <w:top w:val="none" w:sz="0" w:space="0" w:color="auto"/>
                    <w:left w:val="none" w:sz="0" w:space="0" w:color="auto"/>
                    <w:bottom w:val="none" w:sz="0" w:space="0" w:color="auto"/>
                    <w:right w:val="none" w:sz="0" w:space="0" w:color="auto"/>
                  </w:divBdr>
                  <w:divsChild>
                    <w:div w:id="17465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37982">
          <w:marLeft w:val="0"/>
          <w:marRight w:val="0"/>
          <w:marTop w:val="0"/>
          <w:marBottom w:val="0"/>
          <w:divBdr>
            <w:top w:val="none" w:sz="0" w:space="0" w:color="auto"/>
            <w:left w:val="none" w:sz="0" w:space="0" w:color="auto"/>
            <w:bottom w:val="none" w:sz="0" w:space="0" w:color="auto"/>
            <w:right w:val="none" w:sz="0" w:space="0" w:color="auto"/>
          </w:divBdr>
          <w:divsChild>
            <w:div w:id="1691448270">
              <w:marLeft w:val="0"/>
              <w:marRight w:val="0"/>
              <w:marTop w:val="0"/>
              <w:marBottom w:val="0"/>
              <w:divBdr>
                <w:top w:val="none" w:sz="0" w:space="0" w:color="auto"/>
                <w:left w:val="none" w:sz="0" w:space="0" w:color="auto"/>
                <w:bottom w:val="none" w:sz="0" w:space="0" w:color="auto"/>
                <w:right w:val="none" w:sz="0" w:space="0" w:color="auto"/>
              </w:divBdr>
              <w:divsChild>
                <w:div w:id="958418064">
                  <w:marLeft w:val="0"/>
                  <w:marRight w:val="0"/>
                  <w:marTop w:val="0"/>
                  <w:marBottom w:val="0"/>
                  <w:divBdr>
                    <w:top w:val="none" w:sz="0" w:space="0" w:color="auto"/>
                    <w:left w:val="none" w:sz="0" w:space="0" w:color="auto"/>
                    <w:bottom w:val="none" w:sz="0" w:space="0" w:color="auto"/>
                    <w:right w:val="none" w:sz="0" w:space="0" w:color="auto"/>
                  </w:divBdr>
                </w:div>
                <w:div w:id="208691546">
                  <w:marLeft w:val="0"/>
                  <w:marRight w:val="0"/>
                  <w:marTop w:val="0"/>
                  <w:marBottom w:val="0"/>
                  <w:divBdr>
                    <w:top w:val="none" w:sz="0" w:space="0" w:color="auto"/>
                    <w:left w:val="none" w:sz="0" w:space="0" w:color="auto"/>
                    <w:bottom w:val="none" w:sz="0" w:space="0" w:color="auto"/>
                    <w:right w:val="none" w:sz="0" w:space="0" w:color="auto"/>
                  </w:divBdr>
                  <w:divsChild>
                    <w:div w:id="13804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8337">
          <w:marLeft w:val="0"/>
          <w:marRight w:val="0"/>
          <w:marTop w:val="0"/>
          <w:marBottom w:val="0"/>
          <w:divBdr>
            <w:top w:val="none" w:sz="0" w:space="0" w:color="auto"/>
            <w:left w:val="none" w:sz="0" w:space="0" w:color="auto"/>
            <w:bottom w:val="none" w:sz="0" w:space="0" w:color="auto"/>
            <w:right w:val="none" w:sz="0" w:space="0" w:color="auto"/>
          </w:divBdr>
          <w:divsChild>
            <w:div w:id="1134450456">
              <w:marLeft w:val="0"/>
              <w:marRight w:val="0"/>
              <w:marTop w:val="0"/>
              <w:marBottom w:val="0"/>
              <w:divBdr>
                <w:top w:val="none" w:sz="0" w:space="0" w:color="auto"/>
                <w:left w:val="none" w:sz="0" w:space="0" w:color="auto"/>
                <w:bottom w:val="none" w:sz="0" w:space="0" w:color="auto"/>
                <w:right w:val="none" w:sz="0" w:space="0" w:color="auto"/>
              </w:divBdr>
              <w:divsChild>
                <w:div w:id="1701778481">
                  <w:marLeft w:val="0"/>
                  <w:marRight w:val="0"/>
                  <w:marTop w:val="0"/>
                  <w:marBottom w:val="0"/>
                  <w:divBdr>
                    <w:top w:val="none" w:sz="0" w:space="0" w:color="auto"/>
                    <w:left w:val="none" w:sz="0" w:space="0" w:color="auto"/>
                    <w:bottom w:val="none" w:sz="0" w:space="0" w:color="auto"/>
                    <w:right w:val="none" w:sz="0" w:space="0" w:color="auto"/>
                  </w:divBdr>
                </w:div>
                <w:div w:id="2014722164">
                  <w:marLeft w:val="0"/>
                  <w:marRight w:val="0"/>
                  <w:marTop w:val="0"/>
                  <w:marBottom w:val="0"/>
                  <w:divBdr>
                    <w:top w:val="none" w:sz="0" w:space="0" w:color="auto"/>
                    <w:left w:val="none" w:sz="0" w:space="0" w:color="auto"/>
                    <w:bottom w:val="none" w:sz="0" w:space="0" w:color="auto"/>
                    <w:right w:val="none" w:sz="0" w:space="0" w:color="auto"/>
                  </w:divBdr>
                  <w:divsChild>
                    <w:div w:id="3842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5842">
          <w:marLeft w:val="0"/>
          <w:marRight w:val="0"/>
          <w:marTop w:val="0"/>
          <w:marBottom w:val="0"/>
          <w:divBdr>
            <w:top w:val="none" w:sz="0" w:space="0" w:color="auto"/>
            <w:left w:val="none" w:sz="0" w:space="0" w:color="auto"/>
            <w:bottom w:val="none" w:sz="0" w:space="0" w:color="auto"/>
            <w:right w:val="none" w:sz="0" w:space="0" w:color="auto"/>
          </w:divBdr>
          <w:divsChild>
            <w:div w:id="1693342630">
              <w:marLeft w:val="0"/>
              <w:marRight w:val="0"/>
              <w:marTop w:val="0"/>
              <w:marBottom w:val="0"/>
              <w:divBdr>
                <w:top w:val="none" w:sz="0" w:space="0" w:color="auto"/>
                <w:left w:val="none" w:sz="0" w:space="0" w:color="auto"/>
                <w:bottom w:val="none" w:sz="0" w:space="0" w:color="auto"/>
                <w:right w:val="none" w:sz="0" w:space="0" w:color="auto"/>
              </w:divBdr>
              <w:divsChild>
                <w:div w:id="1165970598">
                  <w:marLeft w:val="0"/>
                  <w:marRight w:val="0"/>
                  <w:marTop w:val="0"/>
                  <w:marBottom w:val="0"/>
                  <w:divBdr>
                    <w:top w:val="none" w:sz="0" w:space="0" w:color="auto"/>
                    <w:left w:val="none" w:sz="0" w:space="0" w:color="auto"/>
                    <w:bottom w:val="none" w:sz="0" w:space="0" w:color="auto"/>
                    <w:right w:val="none" w:sz="0" w:space="0" w:color="auto"/>
                  </w:divBdr>
                </w:div>
                <w:div w:id="997808100">
                  <w:marLeft w:val="0"/>
                  <w:marRight w:val="0"/>
                  <w:marTop w:val="0"/>
                  <w:marBottom w:val="0"/>
                  <w:divBdr>
                    <w:top w:val="none" w:sz="0" w:space="0" w:color="auto"/>
                    <w:left w:val="none" w:sz="0" w:space="0" w:color="auto"/>
                    <w:bottom w:val="none" w:sz="0" w:space="0" w:color="auto"/>
                    <w:right w:val="none" w:sz="0" w:space="0" w:color="auto"/>
                  </w:divBdr>
                  <w:divsChild>
                    <w:div w:id="3914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2444">
          <w:marLeft w:val="0"/>
          <w:marRight w:val="0"/>
          <w:marTop w:val="0"/>
          <w:marBottom w:val="0"/>
          <w:divBdr>
            <w:top w:val="none" w:sz="0" w:space="0" w:color="auto"/>
            <w:left w:val="none" w:sz="0" w:space="0" w:color="auto"/>
            <w:bottom w:val="none" w:sz="0" w:space="0" w:color="auto"/>
            <w:right w:val="none" w:sz="0" w:space="0" w:color="auto"/>
          </w:divBdr>
          <w:divsChild>
            <w:div w:id="154037199">
              <w:marLeft w:val="0"/>
              <w:marRight w:val="0"/>
              <w:marTop w:val="0"/>
              <w:marBottom w:val="0"/>
              <w:divBdr>
                <w:top w:val="none" w:sz="0" w:space="0" w:color="auto"/>
                <w:left w:val="none" w:sz="0" w:space="0" w:color="auto"/>
                <w:bottom w:val="none" w:sz="0" w:space="0" w:color="auto"/>
                <w:right w:val="none" w:sz="0" w:space="0" w:color="auto"/>
              </w:divBdr>
              <w:divsChild>
                <w:div w:id="33585128">
                  <w:marLeft w:val="0"/>
                  <w:marRight w:val="0"/>
                  <w:marTop w:val="0"/>
                  <w:marBottom w:val="0"/>
                  <w:divBdr>
                    <w:top w:val="none" w:sz="0" w:space="0" w:color="auto"/>
                    <w:left w:val="none" w:sz="0" w:space="0" w:color="auto"/>
                    <w:bottom w:val="none" w:sz="0" w:space="0" w:color="auto"/>
                    <w:right w:val="none" w:sz="0" w:space="0" w:color="auto"/>
                  </w:divBdr>
                </w:div>
                <w:div w:id="1004865864">
                  <w:marLeft w:val="0"/>
                  <w:marRight w:val="0"/>
                  <w:marTop w:val="0"/>
                  <w:marBottom w:val="0"/>
                  <w:divBdr>
                    <w:top w:val="none" w:sz="0" w:space="0" w:color="auto"/>
                    <w:left w:val="none" w:sz="0" w:space="0" w:color="auto"/>
                    <w:bottom w:val="none" w:sz="0" w:space="0" w:color="auto"/>
                    <w:right w:val="none" w:sz="0" w:space="0" w:color="auto"/>
                  </w:divBdr>
                  <w:divsChild>
                    <w:div w:id="7798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1293">
          <w:marLeft w:val="0"/>
          <w:marRight w:val="0"/>
          <w:marTop w:val="0"/>
          <w:marBottom w:val="0"/>
          <w:divBdr>
            <w:top w:val="none" w:sz="0" w:space="0" w:color="auto"/>
            <w:left w:val="none" w:sz="0" w:space="0" w:color="auto"/>
            <w:bottom w:val="none" w:sz="0" w:space="0" w:color="auto"/>
            <w:right w:val="none" w:sz="0" w:space="0" w:color="auto"/>
          </w:divBdr>
          <w:divsChild>
            <w:div w:id="1758669128">
              <w:marLeft w:val="0"/>
              <w:marRight w:val="0"/>
              <w:marTop w:val="0"/>
              <w:marBottom w:val="0"/>
              <w:divBdr>
                <w:top w:val="none" w:sz="0" w:space="0" w:color="auto"/>
                <w:left w:val="none" w:sz="0" w:space="0" w:color="auto"/>
                <w:bottom w:val="none" w:sz="0" w:space="0" w:color="auto"/>
                <w:right w:val="none" w:sz="0" w:space="0" w:color="auto"/>
              </w:divBdr>
              <w:divsChild>
                <w:div w:id="1632712372">
                  <w:marLeft w:val="0"/>
                  <w:marRight w:val="0"/>
                  <w:marTop w:val="0"/>
                  <w:marBottom w:val="0"/>
                  <w:divBdr>
                    <w:top w:val="none" w:sz="0" w:space="0" w:color="auto"/>
                    <w:left w:val="none" w:sz="0" w:space="0" w:color="auto"/>
                    <w:bottom w:val="none" w:sz="0" w:space="0" w:color="auto"/>
                    <w:right w:val="none" w:sz="0" w:space="0" w:color="auto"/>
                  </w:divBdr>
                </w:div>
                <w:div w:id="660886453">
                  <w:marLeft w:val="0"/>
                  <w:marRight w:val="0"/>
                  <w:marTop w:val="0"/>
                  <w:marBottom w:val="0"/>
                  <w:divBdr>
                    <w:top w:val="none" w:sz="0" w:space="0" w:color="auto"/>
                    <w:left w:val="none" w:sz="0" w:space="0" w:color="auto"/>
                    <w:bottom w:val="none" w:sz="0" w:space="0" w:color="auto"/>
                    <w:right w:val="none" w:sz="0" w:space="0" w:color="auto"/>
                  </w:divBdr>
                  <w:divsChild>
                    <w:div w:id="9589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4945">
          <w:marLeft w:val="0"/>
          <w:marRight w:val="0"/>
          <w:marTop w:val="0"/>
          <w:marBottom w:val="0"/>
          <w:divBdr>
            <w:top w:val="none" w:sz="0" w:space="0" w:color="auto"/>
            <w:left w:val="none" w:sz="0" w:space="0" w:color="auto"/>
            <w:bottom w:val="none" w:sz="0" w:space="0" w:color="auto"/>
            <w:right w:val="none" w:sz="0" w:space="0" w:color="auto"/>
          </w:divBdr>
          <w:divsChild>
            <w:div w:id="2067409942">
              <w:marLeft w:val="0"/>
              <w:marRight w:val="0"/>
              <w:marTop w:val="0"/>
              <w:marBottom w:val="0"/>
              <w:divBdr>
                <w:top w:val="none" w:sz="0" w:space="0" w:color="auto"/>
                <w:left w:val="none" w:sz="0" w:space="0" w:color="auto"/>
                <w:bottom w:val="none" w:sz="0" w:space="0" w:color="auto"/>
                <w:right w:val="none" w:sz="0" w:space="0" w:color="auto"/>
              </w:divBdr>
              <w:divsChild>
                <w:div w:id="1288076979">
                  <w:marLeft w:val="0"/>
                  <w:marRight w:val="0"/>
                  <w:marTop w:val="0"/>
                  <w:marBottom w:val="0"/>
                  <w:divBdr>
                    <w:top w:val="none" w:sz="0" w:space="0" w:color="auto"/>
                    <w:left w:val="none" w:sz="0" w:space="0" w:color="auto"/>
                    <w:bottom w:val="none" w:sz="0" w:space="0" w:color="auto"/>
                    <w:right w:val="none" w:sz="0" w:space="0" w:color="auto"/>
                  </w:divBdr>
                </w:div>
                <w:div w:id="722294516">
                  <w:marLeft w:val="0"/>
                  <w:marRight w:val="0"/>
                  <w:marTop w:val="0"/>
                  <w:marBottom w:val="0"/>
                  <w:divBdr>
                    <w:top w:val="none" w:sz="0" w:space="0" w:color="auto"/>
                    <w:left w:val="none" w:sz="0" w:space="0" w:color="auto"/>
                    <w:bottom w:val="none" w:sz="0" w:space="0" w:color="auto"/>
                    <w:right w:val="none" w:sz="0" w:space="0" w:color="auto"/>
                  </w:divBdr>
                  <w:divsChild>
                    <w:div w:id="12237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644">
          <w:marLeft w:val="0"/>
          <w:marRight w:val="0"/>
          <w:marTop w:val="0"/>
          <w:marBottom w:val="0"/>
          <w:divBdr>
            <w:top w:val="none" w:sz="0" w:space="0" w:color="auto"/>
            <w:left w:val="none" w:sz="0" w:space="0" w:color="auto"/>
            <w:bottom w:val="none" w:sz="0" w:space="0" w:color="auto"/>
            <w:right w:val="none" w:sz="0" w:space="0" w:color="auto"/>
          </w:divBdr>
          <w:divsChild>
            <w:div w:id="1496412206">
              <w:marLeft w:val="0"/>
              <w:marRight w:val="0"/>
              <w:marTop w:val="0"/>
              <w:marBottom w:val="0"/>
              <w:divBdr>
                <w:top w:val="none" w:sz="0" w:space="0" w:color="auto"/>
                <w:left w:val="none" w:sz="0" w:space="0" w:color="auto"/>
                <w:bottom w:val="none" w:sz="0" w:space="0" w:color="auto"/>
                <w:right w:val="none" w:sz="0" w:space="0" w:color="auto"/>
              </w:divBdr>
              <w:divsChild>
                <w:div w:id="621612811">
                  <w:marLeft w:val="0"/>
                  <w:marRight w:val="0"/>
                  <w:marTop w:val="0"/>
                  <w:marBottom w:val="0"/>
                  <w:divBdr>
                    <w:top w:val="none" w:sz="0" w:space="0" w:color="auto"/>
                    <w:left w:val="none" w:sz="0" w:space="0" w:color="auto"/>
                    <w:bottom w:val="none" w:sz="0" w:space="0" w:color="auto"/>
                    <w:right w:val="none" w:sz="0" w:space="0" w:color="auto"/>
                  </w:divBdr>
                </w:div>
                <w:div w:id="820391231">
                  <w:marLeft w:val="0"/>
                  <w:marRight w:val="0"/>
                  <w:marTop w:val="0"/>
                  <w:marBottom w:val="0"/>
                  <w:divBdr>
                    <w:top w:val="none" w:sz="0" w:space="0" w:color="auto"/>
                    <w:left w:val="none" w:sz="0" w:space="0" w:color="auto"/>
                    <w:bottom w:val="none" w:sz="0" w:space="0" w:color="auto"/>
                    <w:right w:val="none" w:sz="0" w:space="0" w:color="auto"/>
                  </w:divBdr>
                  <w:divsChild>
                    <w:div w:id="9008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99954">
          <w:marLeft w:val="0"/>
          <w:marRight w:val="0"/>
          <w:marTop w:val="0"/>
          <w:marBottom w:val="0"/>
          <w:divBdr>
            <w:top w:val="none" w:sz="0" w:space="0" w:color="auto"/>
            <w:left w:val="none" w:sz="0" w:space="0" w:color="auto"/>
            <w:bottom w:val="none" w:sz="0" w:space="0" w:color="auto"/>
            <w:right w:val="none" w:sz="0" w:space="0" w:color="auto"/>
          </w:divBdr>
          <w:divsChild>
            <w:div w:id="864294470">
              <w:marLeft w:val="0"/>
              <w:marRight w:val="0"/>
              <w:marTop w:val="0"/>
              <w:marBottom w:val="0"/>
              <w:divBdr>
                <w:top w:val="none" w:sz="0" w:space="0" w:color="auto"/>
                <w:left w:val="none" w:sz="0" w:space="0" w:color="auto"/>
                <w:bottom w:val="none" w:sz="0" w:space="0" w:color="auto"/>
                <w:right w:val="none" w:sz="0" w:space="0" w:color="auto"/>
              </w:divBdr>
              <w:divsChild>
                <w:div w:id="3430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ourwork/whistleblowing/freedom-to-speak-up-guidance-for-nhs-trust-and-nhs-foundation-trust-boa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tionalguardian.org.uk/wp-content/uploads/2021/04/Guidance-on-Champions-and-Ambassador-Networks-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reedomtospeakup.org.uk/the-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ionalguardian.org.uk/learning-resources/speaking-up-resour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wp-content/uploads/2021/05/ftsu-board-review-too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GO Theme1">
  <a:themeElements>
    <a:clrScheme name="NGO">
      <a:dk1>
        <a:sysClr val="windowText" lastClr="000000"/>
      </a:dk1>
      <a:lt1>
        <a:sysClr val="window" lastClr="FFFFFF"/>
      </a:lt1>
      <a:dk2>
        <a:srgbClr val="0E8A38"/>
      </a:dk2>
      <a:lt2>
        <a:srgbClr val="A9C30C"/>
      </a:lt2>
      <a:accent1>
        <a:srgbClr val="0E8A38"/>
      </a:accent1>
      <a:accent2>
        <a:srgbClr val="A38EBE"/>
      </a:accent2>
      <a:accent3>
        <a:srgbClr val="A9C30C"/>
      </a:accent3>
      <a:accent4>
        <a:srgbClr val="C7BBD8"/>
      </a:accent4>
      <a:accent5>
        <a:srgbClr val="E8F78C"/>
      </a:accent5>
      <a:accent6>
        <a:srgbClr val="70AD47"/>
      </a:accent6>
      <a:hlink>
        <a:srgbClr val="0E8A38"/>
      </a:hlink>
      <a:folHlink>
        <a:srgbClr val="A9C30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Bereket, Sam</DisplayName>
        <AccountId>2266</AccountId>
        <AccountType/>
      </UserInfo>
      <UserInfo>
        <DisplayName>Brown, Jerina</DisplayName>
        <AccountId>17</AccountId>
        <AccountType/>
      </UserInfo>
      <UserInfo>
        <DisplayName>Hughes, Henrietta</DisplayName>
        <AccountId>16</AccountId>
        <AccountType/>
      </UserInfo>
      <UserInfo>
        <DisplayName>Parkinson, Russell</DisplayName>
        <AccountId>19</AccountId>
        <AccountType/>
      </UserInfo>
      <UserInfo>
        <DisplayName>Bradshaw, Katherine</DisplayName>
        <AccountId>440</AccountId>
        <AccountType/>
      </UserInfo>
      <UserInfo>
        <DisplayName>Turnell, Lorraine</DisplayName>
        <AccountId>18</AccountId>
        <AccountType/>
      </UserInfo>
      <UserInfo>
        <DisplayName>Oyedeji, Bessie</DisplayName>
        <AccountId>1091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76621b0a49a2de17c683612695bc18ed">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304840b862a7d32821927c4ba285ee0"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16FBB-14D8-499B-89CA-8A4958BB1B4F}">
  <ds:schemaRefs>
    <ds:schemaRef ds:uri="http://schemas.microsoft.com/office/2006/metadata/properties"/>
    <ds:schemaRef ds:uri="http://schemas.microsoft.com/office/infopath/2007/PartnerControls"/>
    <ds:schemaRef ds:uri="1d162527-c308-4a98-98b8-9e726c57dd8b"/>
  </ds:schemaRefs>
</ds:datastoreItem>
</file>

<file path=customXml/itemProps2.xml><?xml version="1.0" encoding="utf-8"?>
<ds:datastoreItem xmlns:ds="http://schemas.openxmlformats.org/officeDocument/2006/customXml" ds:itemID="{42DE58C4-7E5C-4542-B1AB-206A63E5FDDB}">
  <ds:schemaRefs>
    <ds:schemaRef ds:uri="http://schemas.microsoft.com/sharepoint/v3/contenttype/forms"/>
  </ds:schemaRefs>
</ds:datastoreItem>
</file>

<file path=customXml/itemProps3.xml><?xml version="1.0" encoding="utf-8"?>
<ds:datastoreItem xmlns:ds="http://schemas.openxmlformats.org/officeDocument/2006/customXml" ds:itemID="{57B0F3B1-EFE1-44BA-91D8-DEEB6CA9D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EF9910-6D35-4898-8EE7-8F05E2CF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Care Quality Commission</Company>
  <LinksUpToDate>false</LinksUpToDate>
  <CharactersWithSpaces>15866</CharactersWithSpaces>
  <SharedDoc>false</SharedDoc>
  <HLinks>
    <vt:vector size="546" baseType="variant">
      <vt:variant>
        <vt:i4>8192097</vt:i4>
      </vt:variant>
      <vt:variant>
        <vt:i4>384</vt:i4>
      </vt:variant>
      <vt:variant>
        <vt:i4>0</vt:i4>
      </vt:variant>
      <vt:variant>
        <vt:i4>5</vt:i4>
      </vt:variant>
      <vt:variant>
        <vt:lpwstr>http://freedomtospeakup.org.uk/the-report/</vt:lpwstr>
      </vt:variant>
      <vt:variant>
        <vt:lpwstr/>
      </vt:variant>
      <vt:variant>
        <vt:i4>4390996</vt:i4>
      </vt:variant>
      <vt:variant>
        <vt:i4>381</vt:i4>
      </vt:variant>
      <vt:variant>
        <vt:i4>0</vt:i4>
      </vt:variant>
      <vt:variant>
        <vt:i4>5</vt:i4>
      </vt:variant>
      <vt:variant>
        <vt:lpwstr>https://www.england.nhs.uk/wp-content/uploads/2021/05/ftsu-board-review-tool.docx</vt:lpwstr>
      </vt:variant>
      <vt:variant>
        <vt:lpwstr/>
      </vt:variant>
      <vt:variant>
        <vt:i4>589901</vt:i4>
      </vt:variant>
      <vt:variant>
        <vt:i4>378</vt:i4>
      </vt:variant>
      <vt:variant>
        <vt:i4>0</vt:i4>
      </vt:variant>
      <vt:variant>
        <vt:i4>5</vt:i4>
      </vt:variant>
      <vt:variant>
        <vt:lpwstr>https://www.england.nhs.uk/ourwork/whistleblowing/freedom-to-speak-up-guidance-for-nhs-trust-and-nhs-foundation-trust-boards/</vt:lpwstr>
      </vt:variant>
      <vt:variant>
        <vt:lpwstr/>
      </vt:variant>
      <vt:variant>
        <vt:i4>7471172</vt:i4>
      </vt:variant>
      <vt:variant>
        <vt:i4>375</vt:i4>
      </vt:variant>
      <vt:variant>
        <vt:i4>0</vt:i4>
      </vt:variant>
      <vt:variant>
        <vt:i4>5</vt:i4>
      </vt:variant>
      <vt:variant>
        <vt:lpwstr/>
      </vt:variant>
      <vt:variant>
        <vt:lpwstr>_LEADERSHIP</vt:lpwstr>
      </vt:variant>
      <vt:variant>
        <vt:i4>1769499</vt:i4>
      </vt:variant>
      <vt:variant>
        <vt:i4>372</vt:i4>
      </vt:variant>
      <vt:variant>
        <vt:i4>0</vt:i4>
      </vt:variant>
      <vt:variant>
        <vt:i4>5</vt:i4>
      </vt:variant>
      <vt:variant>
        <vt:lpwstr>https://nationalguardian.org.uk/wp-content/uploads/2021/04/Guidance-on-Champions-and-Ambassador-Networks-2021.pdf</vt:lpwstr>
      </vt:variant>
      <vt:variant>
        <vt:lpwstr/>
      </vt:variant>
      <vt:variant>
        <vt:i4>3145729</vt:i4>
      </vt:variant>
      <vt:variant>
        <vt:i4>369</vt:i4>
      </vt:variant>
      <vt:variant>
        <vt:i4>0</vt:i4>
      </vt:variant>
      <vt:variant>
        <vt:i4>5</vt:i4>
      </vt:variant>
      <vt:variant>
        <vt:lpwstr/>
      </vt:variant>
      <vt:variant>
        <vt:lpwstr>_FREEDOM_TO_SPEAK</vt:lpwstr>
      </vt:variant>
      <vt:variant>
        <vt:i4>1245225</vt:i4>
      </vt:variant>
      <vt:variant>
        <vt:i4>366</vt:i4>
      </vt:variant>
      <vt:variant>
        <vt:i4>0</vt:i4>
      </vt:variant>
      <vt:variant>
        <vt:i4>5</vt:i4>
      </vt:variant>
      <vt:variant>
        <vt:lpwstr/>
      </vt:variant>
      <vt:variant>
        <vt:lpwstr>_Workers</vt:lpwstr>
      </vt:variant>
      <vt:variant>
        <vt:i4>1966086</vt:i4>
      </vt:variant>
      <vt:variant>
        <vt:i4>363</vt:i4>
      </vt:variant>
      <vt:variant>
        <vt:i4>0</vt:i4>
      </vt:variant>
      <vt:variant>
        <vt:i4>5</vt:i4>
      </vt:variant>
      <vt:variant>
        <vt:lpwstr>https://nationalguardian.org.uk/learning-resources/speaking-up-resources/</vt:lpwstr>
      </vt:variant>
      <vt:variant>
        <vt:lpwstr/>
      </vt:variant>
      <vt:variant>
        <vt:i4>4915273</vt:i4>
      </vt:variant>
      <vt:variant>
        <vt:i4>360</vt:i4>
      </vt:variant>
      <vt:variant>
        <vt:i4>0</vt:i4>
      </vt:variant>
      <vt:variant>
        <vt:i4>5</vt:i4>
      </vt:variant>
      <vt:variant>
        <vt:lpwstr>https://nationalguardian.org.uk/case-review/southport-and-ormskirk-hospital/</vt:lpwstr>
      </vt:variant>
      <vt:variant>
        <vt:lpwstr/>
      </vt:variant>
      <vt:variant>
        <vt:i4>4456456</vt:i4>
      </vt:variant>
      <vt:variant>
        <vt:i4>357</vt:i4>
      </vt:variant>
      <vt:variant>
        <vt:i4>0</vt:i4>
      </vt:variant>
      <vt:variant>
        <vt:i4>5</vt:i4>
      </vt:variant>
      <vt:variant>
        <vt:lpwstr>https://nationalguardian.org.uk/case-review/north-lincolnshire-and-goole/</vt:lpwstr>
      </vt:variant>
      <vt:variant>
        <vt:lpwstr/>
      </vt:variant>
      <vt:variant>
        <vt:i4>2818144</vt:i4>
      </vt:variant>
      <vt:variant>
        <vt:i4>354</vt:i4>
      </vt:variant>
      <vt:variant>
        <vt:i4>0</vt:i4>
      </vt:variant>
      <vt:variant>
        <vt:i4>5</vt:i4>
      </vt:variant>
      <vt:variant>
        <vt:lpwstr>https://nationalguardian.org.uk/case-review/derbyshire-community-health-services-nhs-trust/</vt:lpwstr>
      </vt:variant>
      <vt:variant>
        <vt:lpwstr/>
      </vt:variant>
      <vt:variant>
        <vt:i4>5439508</vt:i4>
      </vt:variant>
      <vt:variant>
        <vt:i4>351</vt:i4>
      </vt:variant>
      <vt:variant>
        <vt:i4>0</vt:i4>
      </vt:variant>
      <vt:variant>
        <vt:i4>5</vt:i4>
      </vt:variant>
      <vt:variant>
        <vt:lpwstr>https://nationalguardian.org.uk/case-review/nottinghamshire-healthcare-nhs-foundation-trust/</vt:lpwstr>
      </vt:variant>
      <vt:variant>
        <vt:lpwstr/>
      </vt:variant>
      <vt:variant>
        <vt:i4>2359334</vt:i4>
      </vt:variant>
      <vt:variant>
        <vt:i4>348</vt:i4>
      </vt:variant>
      <vt:variant>
        <vt:i4>0</vt:i4>
      </vt:variant>
      <vt:variant>
        <vt:i4>5</vt:i4>
      </vt:variant>
      <vt:variant>
        <vt:lpwstr>https://nationalguardian.org.uk/case-review/royal-cornwall-hospitals-nhs-trust/</vt:lpwstr>
      </vt:variant>
      <vt:variant>
        <vt:lpwstr/>
      </vt:variant>
      <vt:variant>
        <vt:i4>3342377</vt:i4>
      </vt:variant>
      <vt:variant>
        <vt:i4>345</vt:i4>
      </vt:variant>
      <vt:variant>
        <vt:i4>0</vt:i4>
      </vt:variant>
      <vt:variant>
        <vt:i4>5</vt:i4>
      </vt:variant>
      <vt:variant>
        <vt:lpwstr>https://nationalguardian.org.uk/case-review/brighton-and-sussex-university-hospitals-nhs-trust/</vt:lpwstr>
      </vt:variant>
      <vt:variant>
        <vt:lpwstr/>
      </vt:variant>
      <vt:variant>
        <vt:i4>2424955</vt:i4>
      </vt:variant>
      <vt:variant>
        <vt:i4>342</vt:i4>
      </vt:variant>
      <vt:variant>
        <vt:i4>0</vt:i4>
      </vt:variant>
      <vt:variant>
        <vt:i4>5</vt:i4>
      </vt:variant>
      <vt:variant>
        <vt:lpwstr>https://nationalguardian.org.uk/case-review/north-west-ambulance-service-nhs-trust/</vt:lpwstr>
      </vt:variant>
      <vt:variant>
        <vt:lpwstr/>
      </vt:variant>
      <vt:variant>
        <vt:i4>5898242</vt:i4>
      </vt:variant>
      <vt:variant>
        <vt:i4>339</vt:i4>
      </vt:variant>
      <vt:variant>
        <vt:i4>0</vt:i4>
      </vt:variant>
      <vt:variant>
        <vt:i4>5</vt:i4>
      </vt:variant>
      <vt:variant>
        <vt:lpwstr>https://nationalguardian.org.uk/case-review/whittington-health-nhs-trust/</vt:lpwstr>
      </vt:variant>
      <vt:variant>
        <vt:lpwstr/>
      </vt:variant>
      <vt:variant>
        <vt:i4>5636186</vt:i4>
      </vt:variant>
      <vt:variant>
        <vt:i4>336</vt:i4>
      </vt:variant>
      <vt:variant>
        <vt:i4>0</vt:i4>
      </vt:variant>
      <vt:variant>
        <vt:i4>5</vt:i4>
      </vt:variant>
      <vt:variant>
        <vt:lpwstr>https://nationalguardian.org.uk/case-review/blackpool-teaching-hospitals/</vt:lpwstr>
      </vt:variant>
      <vt:variant>
        <vt:lpwstr/>
      </vt:variant>
      <vt:variant>
        <vt:i4>6815840</vt:i4>
      </vt:variant>
      <vt:variant>
        <vt:i4>333</vt:i4>
      </vt:variant>
      <vt:variant>
        <vt:i4>0</vt:i4>
      </vt:variant>
      <vt:variant>
        <vt:i4>5</vt:i4>
      </vt:variant>
      <vt:variant>
        <vt:lpwstr>https://nationalguardian.org.uk/learning-resources/speaking-up-reviews/</vt:lpwstr>
      </vt:variant>
      <vt:variant>
        <vt:lpwstr/>
      </vt:variant>
      <vt:variant>
        <vt:i4>3866684</vt:i4>
      </vt:variant>
      <vt:variant>
        <vt:i4>330</vt:i4>
      </vt:variant>
      <vt:variant>
        <vt:i4>0</vt:i4>
      </vt:variant>
      <vt:variant>
        <vt:i4>5</vt:i4>
      </vt:variant>
      <vt:variant>
        <vt:lpwstr>https://www.nhsemployers.org/publications/professionalism-and-cultural-transformation-pact-toolkit</vt:lpwstr>
      </vt:variant>
      <vt:variant>
        <vt:lpwstr/>
      </vt:variant>
      <vt:variant>
        <vt:i4>6946918</vt:i4>
      </vt:variant>
      <vt:variant>
        <vt:i4>327</vt:i4>
      </vt:variant>
      <vt:variant>
        <vt:i4>0</vt:i4>
      </vt:variant>
      <vt:variant>
        <vt:i4>5</vt:i4>
      </vt:variant>
      <vt:variant>
        <vt:lpwstr>https://www.cqc.org.uk/guidance-providers/regulations-enforcement/fit-proper-persons-directors</vt:lpwstr>
      </vt:variant>
      <vt:variant>
        <vt:lpwstr/>
      </vt:variant>
      <vt:variant>
        <vt:i4>3866697</vt:i4>
      </vt:variant>
      <vt:variant>
        <vt:i4>324</vt:i4>
      </vt:variant>
      <vt:variant>
        <vt:i4>0</vt:i4>
      </vt:variant>
      <vt:variant>
        <vt:i4>5</vt:i4>
      </vt:variant>
      <vt:variant>
        <vt:lpwstr>https://www.nhsemployers.org/sites/default/files/media/The-use-of-settlement-agreements-and-confidentiality-clauses_0.pdf</vt:lpwstr>
      </vt:variant>
      <vt:variant>
        <vt:lpwstr/>
      </vt:variant>
      <vt:variant>
        <vt:i4>983106</vt:i4>
      </vt:variant>
      <vt:variant>
        <vt:i4>321</vt:i4>
      </vt:variant>
      <vt:variant>
        <vt:i4>0</vt:i4>
      </vt:variant>
      <vt:variant>
        <vt:i4>5</vt:i4>
      </vt:variant>
      <vt:variant>
        <vt:lpwstr>https://nationalguardian.org.uk/wp-content/uploads/2021/04/20190812-National-guidelines-on-FTSU-training.pdf</vt:lpwstr>
      </vt:variant>
      <vt:variant>
        <vt:lpwstr/>
      </vt:variant>
      <vt:variant>
        <vt:i4>1966092</vt:i4>
      </vt:variant>
      <vt:variant>
        <vt:i4>318</vt:i4>
      </vt:variant>
      <vt:variant>
        <vt:i4>0</vt:i4>
      </vt:variant>
      <vt:variant>
        <vt:i4>5</vt:i4>
      </vt:variant>
      <vt:variant>
        <vt:lpwstr>https://nationalguardian.org.uk/speaking-up/training-for-workers/</vt:lpwstr>
      </vt:variant>
      <vt:variant>
        <vt:lpwstr/>
      </vt:variant>
      <vt:variant>
        <vt:i4>8192097</vt:i4>
      </vt:variant>
      <vt:variant>
        <vt:i4>315</vt:i4>
      </vt:variant>
      <vt:variant>
        <vt:i4>0</vt:i4>
      </vt:variant>
      <vt:variant>
        <vt:i4>5</vt:i4>
      </vt:variant>
      <vt:variant>
        <vt:lpwstr>http://freedomtospeakup.org.uk/the-report/</vt:lpwstr>
      </vt:variant>
      <vt:variant>
        <vt:lpwstr/>
      </vt:variant>
      <vt:variant>
        <vt:i4>1179652</vt:i4>
      </vt:variant>
      <vt:variant>
        <vt:i4>312</vt:i4>
      </vt:variant>
      <vt:variant>
        <vt:i4>0</vt:i4>
      </vt:variant>
      <vt:variant>
        <vt:i4>5</vt:i4>
      </vt:variant>
      <vt:variant>
        <vt:lpwstr>https://www.england.nhs.uk/ourwork/whistleblowing/freedom-to-speak-up-whistleblowing-policy-for-the-nhs/</vt:lpwstr>
      </vt:variant>
      <vt:variant>
        <vt:lpwstr/>
      </vt:variant>
      <vt:variant>
        <vt:i4>2818144</vt:i4>
      </vt:variant>
      <vt:variant>
        <vt:i4>309</vt:i4>
      </vt:variant>
      <vt:variant>
        <vt:i4>0</vt:i4>
      </vt:variant>
      <vt:variant>
        <vt:i4>5</vt:i4>
      </vt:variant>
      <vt:variant>
        <vt:lpwstr>https://nationalguardian.org.uk/case-review/derbyshire-community-health-services-nhs-trust/</vt:lpwstr>
      </vt:variant>
      <vt:variant>
        <vt:lpwstr/>
      </vt:variant>
      <vt:variant>
        <vt:i4>589901</vt:i4>
      </vt:variant>
      <vt:variant>
        <vt:i4>306</vt:i4>
      </vt:variant>
      <vt:variant>
        <vt:i4>0</vt:i4>
      </vt:variant>
      <vt:variant>
        <vt:i4>5</vt:i4>
      </vt:variant>
      <vt:variant>
        <vt:lpwstr>https://www.england.nhs.uk/ourwork/whistleblowing/freedom-to-speak-up-guidance-for-nhs-trust-and-nhs-foundation-trust-boards/</vt:lpwstr>
      </vt:variant>
      <vt:variant>
        <vt:lpwstr/>
      </vt:variant>
      <vt:variant>
        <vt:i4>589901</vt:i4>
      </vt:variant>
      <vt:variant>
        <vt:i4>303</vt:i4>
      </vt:variant>
      <vt:variant>
        <vt:i4>0</vt:i4>
      </vt:variant>
      <vt:variant>
        <vt:i4>5</vt:i4>
      </vt:variant>
      <vt:variant>
        <vt:lpwstr>https://www.england.nhs.uk/ourwork/whistleblowing/freedom-to-speak-up-guidance-for-nhs-trust-and-nhs-foundation-trust-boards/</vt:lpwstr>
      </vt:variant>
      <vt:variant>
        <vt:lpwstr/>
      </vt:variant>
      <vt:variant>
        <vt:i4>4390996</vt:i4>
      </vt:variant>
      <vt:variant>
        <vt:i4>300</vt:i4>
      </vt:variant>
      <vt:variant>
        <vt:i4>0</vt:i4>
      </vt:variant>
      <vt:variant>
        <vt:i4>5</vt:i4>
      </vt:variant>
      <vt:variant>
        <vt:lpwstr>https://www.england.nhs.uk/wp-content/uploads/2021/05/ftsu-board-review-tool.docx</vt:lpwstr>
      </vt:variant>
      <vt:variant>
        <vt:lpwstr/>
      </vt:variant>
      <vt:variant>
        <vt:i4>589901</vt:i4>
      </vt:variant>
      <vt:variant>
        <vt:i4>297</vt:i4>
      </vt:variant>
      <vt:variant>
        <vt:i4>0</vt:i4>
      </vt:variant>
      <vt:variant>
        <vt:i4>5</vt:i4>
      </vt:variant>
      <vt:variant>
        <vt:lpwstr>https://www.england.nhs.uk/ourwork/whistleblowing/freedom-to-speak-up-guidance-for-nhs-trust-and-nhs-foundation-trust-boards/</vt:lpwstr>
      </vt:variant>
      <vt:variant>
        <vt:lpwstr/>
      </vt:variant>
      <vt:variant>
        <vt:i4>589901</vt:i4>
      </vt:variant>
      <vt:variant>
        <vt:i4>294</vt:i4>
      </vt:variant>
      <vt:variant>
        <vt:i4>0</vt:i4>
      </vt:variant>
      <vt:variant>
        <vt:i4>5</vt:i4>
      </vt:variant>
      <vt:variant>
        <vt:lpwstr>https://www.england.nhs.uk/ourwork/whistleblowing/freedom-to-speak-up-guidance-for-nhs-trust-and-nhs-foundation-trust-boards/</vt:lpwstr>
      </vt:variant>
      <vt:variant>
        <vt:lpwstr/>
      </vt:variant>
      <vt:variant>
        <vt:i4>589901</vt:i4>
      </vt:variant>
      <vt:variant>
        <vt:i4>291</vt:i4>
      </vt:variant>
      <vt:variant>
        <vt:i4>0</vt:i4>
      </vt:variant>
      <vt:variant>
        <vt:i4>5</vt:i4>
      </vt:variant>
      <vt:variant>
        <vt:lpwstr>https://www.england.nhs.uk/ourwork/whistleblowing/freedom-to-speak-up-guidance-for-nhs-trust-and-nhs-foundation-trust-boards/</vt:lpwstr>
      </vt:variant>
      <vt:variant>
        <vt:lpwstr/>
      </vt:variant>
      <vt:variant>
        <vt:i4>1769499</vt:i4>
      </vt:variant>
      <vt:variant>
        <vt:i4>288</vt:i4>
      </vt:variant>
      <vt:variant>
        <vt:i4>0</vt:i4>
      </vt:variant>
      <vt:variant>
        <vt:i4>5</vt:i4>
      </vt:variant>
      <vt:variant>
        <vt:lpwstr>https://nationalguardian.org.uk/wp-content/uploads/2021/04/Guidance-on-Champions-and-Ambassador-Networks-2021.pdf</vt:lpwstr>
      </vt:variant>
      <vt:variant>
        <vt:lpwstr/>
      </vt:variant>
      <vt:variant>
        <vt:i4>4063270</vt:i4>
      </vt:variant>
      <vt:variant>
        <vt:i4>285</vt:i4>
      </vt:variant>
      <vt:variant>
        <vt:i4>0</vt:i4>
      </vt:variant>
      <vt:variant>
        <vt:i4>5</vt:i4>
      </vt:variant>
      <vt:variant>
        <vt:lpwstr>https://nationalguardian.org.uk/for-guardians/guidance/</vt:lpwstr>
      </vt:variant>
      <vt:variant>
        <vt:lpwstr/>
      </vt:variant>
      <vt:variant>
        <vt:i4>3997744</vt:i4>
      </vt:variant>
      <vt:variant>
        <vt:i4>282</vt:i4>
      </vt:variant>
      <vt:variant>
        <vt:i4>0</vt:i4>
      </vt:variant>
      <vt:variant>
        <vt:i4>5</vt:i4>
      </vt:variant>
      <vt:variant>
        <vt:lpwstr>https://nationalguardian.org.uk/for-guardians/job-description/</vt:lpwstr>
      </vt:variant>
      <vt:variant>
        <vt:lpwstr/>
      </vt:variant>
      <vt:variant>
        <vt:i4>3997744</vt:i4>
      </vt:variant>
      <vt:variant>
        <vt:i4>279</vt:i4>
      </vt:variant>
      <vt:variant>
        <vt:i4>0</vt:i4>
      </vt:variant>
      <vt:variant>
        <vt:i4>5</vt:i4>
      </vt:variant>
      <vt:variant>
        <vt:lpwstr>https://nationalguardian.org.uk/for-guardians/job-description/</vt:lpwstr>
      </vt:variant>
      <vt:variant>
        <vt:lpwstr/>
      </vt:variant>
      <vt:variant>
        <vt:i4>6750323</vt:i4>
      </vt:variant>
      <vt:variant>
        <vt:i4>276</vt:i4>
      </vt:variant>
      <vt:variant>
        <vt:i4>0</vt:i4>
      </vt:variant>
      <vt:variant>
        <vt:i4>5</vt:i4>
      </vt:variant>
      <vt:variant>
        <vt:lpwstr>https://www.nhsemployers.org/articles/tackling-bullying-nhs-infographic</vt:lpwstr>
      </vt:variant>
      <vt:variant>
        <vt:lpwstr/>
      </vt:variant>
      <vt:variant>
        <vt:i4>8192097</vt:i4>
      </vt:variant>
      <vt:variant>
        <vt:i4>273</vt:i4>
      </vt:variant>
      <vt:variant>
        <vt:i4>0</vt:i4>
      </vt:variant>
      <vt:variant>
        <vt:i4>5</vt:i4>
      </vt:variant>
      <vt:variant>
        <vt:lpwstr>http://freedomtospeakup.org.uk/the-report/</vt:lpwstr>
      </vt:variant>
      <vt:variant>
        <vt:lpwstr/>
      </vt:variant>
      <vt:variant>
        <vt:i4>1048639</vt:i4>
      </vt:variant>
      <vt:variant>
        <vt:i4>266</vt:i4>
      </vt:variant>
      <vt:variant>
        <vt:i4>0</vt:i4>
      </vt:variant>
      <vt:variant>
        <vt:i4>5</vt:i4>
      </vt:variant>
      <vt:variant>
        <vt:lpwstr/>
      </vt:variant>
      <vt:variant>
        <vt:lpwstr>_Toc90906097</vt:lpwstr>
      </vt:variant>
      <vt:variant>
        <vt:i4>1114175</vt:i4>
      </vt:variant>
      <vt:variant>
        <vt:i4>260</vt:i4>
      </vt:variant>
      <vt:variant>
        <vt:i4>0</vt:i4>
      </vt:variant>
      <vt:variant>
        <vt:i4>5</vt:i4>
      </vt:variant>
      <vt:variant>
        <vt:lpwstr/>
      </vt:variant>
      <vt:variant>
        <vt:lpwstr>_Toc90906096</vt:lpwstr>
      </vt:variant>
      <vt:variant>
        <vt:i4>1179711</vt:i4>
      </vt:variant>
      <vt:variant>
        <vt:i4>254</vt:i4>
      </vt:variant>
      <vt:variant>
        <vt:i4>0</vt:i4>
      </vt:variant>
      <vt:variant>
        <vt:i4>5</vt:i4>
      </vt:variant>
      <vt:variant>
        <vt:lpwstr/>
      </vt:variant>
      <vt:variant>
        <vt:lpwstr>_Toc90906095</vt:lpwstr>
      </vt:variant>
      <vt:variant>
        <vt:i4>1245247</vt:i4>
      </vt:variant>
      <vt:variant>
        <vt:i4>248</vt:i4>
      </vt:variant>
      <vt:variant>
        <vt:i4>0</vt:i4>
      </vt:variant>
      <vt:variant>
        <vt:i4>5</vt:i4>
      </vt:variant>
      <vt:variant>
        <vt:lpwstr/>
      </vt:variant>
      <vt:variant>
        <vt:lpwstr>_Toc90906094</vt:lpwstr>
      </vt:variant>
      <vt:variant>
        <vt:i4>1310783</vt:i4>
      </vt:variant>
      <vt:variant>
        <vt:i4>242</vt:i4>
      </vt:variant>
      <vt:variant>
        <vt:i4>0</vt:i4>
      </vt:variant>
      <vt:variant>
        <vt:i4>5</vt:i4>
      </vt:variant>
      <vt:variant>
        <vt:lpwstr/>
      </vt:variant>
      <vt:variant>
        <vt:lpwstr>_Toc90906093</vt:lpwstr>
      </vt:variant>
      <vt:variant>
        <vt:i4>1376319</vt:i4>
      </vt:variant>
      <vt:variant>
        <vt:i4>236</vt:i4>
      </vt:variant>
      <vt:variant>
        <vt:i4>0</vt:i4>
      </vt:variant>
      <vt:variant>
        <vt:i4>5</vt:i4>
      </vt:variant>
      <vt:variant>
        <vt:lpwstr/>
      </vt:variant>
      <vt:variant>
        <vt:lpwstr>_Toc90906092</vt:lpwstr>
      </vt:variant>
      <vt:variant>
        <vt:i4>1441855</vt:i4>
      </vt:variant>
      <vt:variant>
        <vt:i4>230</vt:i4>
      </vt:variant>
      <vt:variant>
        <vt:i4>0</vt:i4>
      </vt:variant>
      <vt:variant>
        <vt:i4>5</vt:i4>
      </vt:variant>
      <vt:variant>
        <vt:lpwstr/>
      </vt:variant>
      <vt:variant>
        <vt:lpwstr>_Toc90906091</vt:lpwstr>
      </vt:variant>
      <vt:variant>
        <vt:i4>1507391</vt:i4>
      </vt:variant>
      <vt:variant>
        <vt:i4>224</vt:i4>
      </vt:variant>
      <vt:variant>
        <vt:i4>0</vt:i4>
      </vt:variant>
      <vt:variant>
        <vt:i4>5</vt:i4>
      </vt:variant>
      <vt:variant>
        <vt:lpwstr/>
      </vt:variant>
      <vt:variant>
        <vt:lpwstr>_Toc90906090</vt:lpwstr>
      </vt:variant>
      <vt:variant>
        <vt:i4>1966142</vt:i4>
      </vt:variant>
      <vt:variant>
        <vt:i4>218</vt:i4>
      </vt:variant>
      <vt:variant>
        <vt:i4>0</vt:i4>
      </vt:variant>
      <vt:variant>
        <vt:i4>5</vt:i4>
      </vt:variant>
      <vt:variant>
        <vt:lpwstr/>
      </vt:variant>
      <vt:variant>
        <vt:lpwstr>_Toc90906089</vt:lpwstr>
      </vt:variant>
      <vt:variant>
        <vt:i4>2031678</vt:i4>
      </vt:variant>
      <vt:variant>
        <vt:i4>212</vt:i4>
      </vt:variant>
      <vt:variant>
        <vt:i4>0</vt:i4>
      </vt:variant>
      <vt:variant>
        <vt:i4>5</vt:i4>
      </vt:variant>
      <vt:variant>
        <vt:lpwstr/>
      </vt:variant>
      <vt:variant>
        <vt:lpwstr>_Toc90906088</vt:lpwstr>
      </vt:variant>
      <vt:variant>
        <vt:i4>1048638</vt:i4>
      </vt:variant>
      <vt:variant>
        <vt:i4>206</vt:i4>
      </vt:variant>
      <vt:variant>
        <vt:i4>0</vt:i4>
      </vt:variant>
      <vt:variant>
        <vt:i4>5</vt:i4>
      </vt:variant>
      <vt:variant>
        <vt:lpwstr/>
      </vt:variant>
      <vt:variant>
        <vt:lpwstr>_Toc90906087</vt:lpwstr>
      </vt:variant>
      <vt:variant>
        <vt:i4>1114174</vt:i4>
      </vt:variant>
      <vt:variant>
        <vt:i4>200</vt:i4>
      </vt:variant>
      <vt:variant>
        <vt:i4>0</vt:i4>
      </vt:variant>
      <vt:variant>
        <vt:i4>5</vt:i4>
      </vt:variant>
      <vt:variant>
        <vt:lpwstr/>
      </vt:variant>
      <vt:variant>
        <vt:lpwstr>_Toc90906086</vt:lpwstr>
      </vt:variant>
      <vt:variant>
        <vt:i4>1179710</vt:i4>
      </vt:variant>
      <vt:variant>
        <vt:i4>194</vt:i4>
      </vt:variant>
      <vt:variant>
        <vt:i4>0</vt:i4>
      </vt:variant>
      <vt:variant>
        <vt:i4>5</vt:i4>
      </vt:variant>
      <vt:variant>
        <vt:lpwstr/>
      </vt:variant>
      <vt:variant>
        <vt:lpwstr>_Toc90906085</vt:lpwstr>
      </vt:variant>
      <vt:variant>
        <vt:i4>1245246</vt:i4>
      </vt:variant>
      <vt:variant>
        <vt:i4>188</vt:i4>
      </vt:variant>
      <vt:variant>
        <vt:i4>0</vt:i4>
      </vt:variant>
      <vt:variant>
        <vt:i4>5</vt:i4>
      </vt:variant>
      <vt:variant>
        <vt:lpwstr/>
      </vt:variant>
      <vt:variant>
        <vt:lpwstr>_Toc90906084</vt:lpwstr>
      </vt:variant>
      <vt:variant>
        <vt:i4>1310782</vt:i4>
      </vt:variant>
      <vt:variant>
        <vt:i4>182</vt:i4>
      </vt:variant>
      <vt:variant>
        <vt:i4>0</vt:i4>
      </vt:variant>
      <vt:variant>
        <vt:i4>5</vt:i4>
      </vt:variant>
      <vt:variant>
        <vt:lpwstr/>
      </vt:variant>
      <vt:variant>
        <vt:lpwstr>_Toc90906083</vt:lpwstr>
      </vt:variant>
      <vt:variant>
        <vt:i4>1376318</vt:i4>
      </vt:variant>
      <vt:variant>
        <vt:i4>176</vt:i4>
      </vt:variant>
      <vt:variant>
        <vt:i4>0</vt:i4>
      </vt:variant>
      <vt:variant>
        <vt:i4>5</vt:i4>
      </vt:variant>
      <vt:variant>
        <vt:lpwstr/>
      </vt:variant>
      <vt:variant>
        <vt:lpwstr>_Toc90906082</vt:lpwstr>
      </vt:variant>
      <vt:variant>
        <vt:i4>1441854</vt:i4>
      </vt:variant>
      <vt:variant>
        <vt:i4>170</vt:i4>
      </vt:variant>
      <vt:variant>
        <vt:i4>0</vt:i4>
      </vt:variant>
      <vt:variant>
        <vt:i4>5</vt:i4>
      </vt:variant>
      <vt:variant>
        <vt:lpwstr/>
      </vt:variant>
      <vt:variant>
        <vt:lpwstr>_Toc90906081</vt:lpwstr>
      </vt:variant>
      <vt:variant>
        <vt:i4>1507390</vt:i4>
      </vt:variant>
      <vt:variant>
        <vt:i4>164</vt:i4>
      </vt:variant>
      <vt:variant>
        <vt:i4>0</vt:i4>
      </vt:variant>
      <vt:variant>
        <vt:i4>5</vt:i4>
      </vt:variant>
      <vt:variant>
        <vt:lpwstr/>
      </vt:variant>
      <vt:variant>
        <vt:lpwstr>_Toc90906080</vt:lpwstr>
      </vt:variant>
      <vt:variant>
        <vt:i4>1966129</vt:i4>
      </vt:variant>
      <vt:variant>
        <vt:i4>158</vt:i4>
      </vt:variant>
      <vt:variant>
        <vt:i4>0</vt:i4>
      </vt:variant>
      <vt:variant>
        <vt:i4>5</vt:i4>
      </vt:variant>
      <vt:variant>
        <vt:lpwstr/>
      </vt:variant>
      <vt:variant>
        <vt:lpwstr>_Toc90906079</vt:lpwstr>
      </vt:variant>
      <vt:variant>
        <vt:i4>2031665</vt:i4>
      </vt:variant>
      <vt:variant>
        <vt:i4>152</vt:i4>
      </vt:variant>
      <vt:variant>
        <vt:i4>0</vt:i4>
      </vt:variant>
      <vt:variant>
        <vt:i4>5</vt:i4>
      </vt:variant>
      <vt:variant>
        <vt:lpwstr/>
      </vt:variant>
      <vt:variant>
        <vt:lpwstr>_Toc90906078</vt:lpwstr>
      </vt:variant>
      <vt:variant>
        <vt:i4>1048625</vt:i4>
      </vt:variant>
      <vt:variant>
        <vt:i4>146</vt:i4>
      </vt:variant>
      <vt:variant>
        <vt:i4>0</vt:i4>
      </vt:variant>
      <vt:variant>
        <vt:i4>5</vt:i4>
      </vt:variant>
      <vt:variant>
        <vt:lpwstr/>
      </vt:variant>
      <vt:variant>
        <vt:lpwstr>_Toc90906077</vt:lpwstr>
      </vt:variant>
      <vt:variant>
        <vt:i4>1114161</vt:i4>
      </vt:variant>
      <vt:variant>
        <vt:i4>140</vt:i4>
      </vt:variant>
      <vt:variant>
        <vt:i4>0</vt:i4>
      </vt:variant>
      <vt:variant>
        <vt:i4>5</vt:i4>
      </vt:variant>
      <vt:variant>
        <vt:lpwstr/>
      </vt:variant>
      <vt:variant>
        <vt:lpwstr>_Toc90906076</vt:lpwstr>
      </vt:variant>
      <vt:variant>
        <vt:i4>1179697</vt:i4>
      </vt:variant>
      <vt:variant>
        <vt:i4>134</vt:i4>
      </vt:variant>
      <vt:variant>
        <vt:i4>0</vt:i4>
      </vt:variant>
      <vt:variant>
        <vt:i4>5</vt:i4>
      </vt:variant>
      <vt:variant>
        <vt:lpwstr/>
      </vt:variant>
      <vt:variant>
        <vt:lpwstr>_Toc90906075</vt:lpwstr>
      </vt:variant>
      <vt:variant>
        <vt:i4>1245233</vt:i4>
      </vt:variant>
      <vt:variant>
        <vt:i4>128</vt:i4>
      </vt:variant>
      <vt:variant>
        <vt:i4>0</vt:i4>
      </vt:variant>
      <vt:variant>
        <vt:i4>5</vt:i4>
      </vt:variant>
      <vt:variant>
        <vt:lpwstr/>
      </vt:variant>
      <vt:variant>
        <vt:lpwstr>_Toc90906074</vt:lpwstr>
      </vt:variant>
      <vt:variant>
        <vt:i4>1310769</vt:i4>
      </vt:variant>
      <vt:variant>
        <vt:i4>122</vt:i4>
      </vt:variant>
      <vt:variant>
        <vt:i4>0</vt:i4>
      </vt:variant>
      <vt:variant>
        <vt:i4>5</vt:i4>
      </vt:variant>
      <vt:variant>
        <vt:lpwstr/>
      </vt:variant>
      <vt:variant>
        <vt:lpwstr>_Toc90906073</vt:lpwstr>
      </vt:variant>
      <vt:variant>
        <vt:i4>1376305</vt:i4>
      </vt:variant>
      <vt:variant>
        <vt:i4>116</vt:i4>
      </vt:variant>
      <vt:variant>
        <vt:i4>0</vt:i4>
      </vt:variant>
      <vt:variant>
        <vt:i4>5</vt:i4>
      </vt:variant>
      <vt:variant>
        <vt:lpwstr/>
      </vt:variant>
      <vt:variant>
        <vt:lpwstr>_Toc90906072</vt:lpwstr>
      </vt:variant>
      <vt:variant>
        <vt:i4>1441841</vt:i4>
      </vt:variant>
      <vt:variant>
        <vt:i4>110</vt:i4>
      </vt:variant>
      <vt:variant>
        <vt:i4>0</vt:i4>
      </vt:variant>
      <vt:variant>
        <vt:i4>5</vt:i4>
      </vt:variant>
      <vt:variant>
        <vt:lpwstr/>
      </vt:variant>
      <vt:variant>
        <vt:lpwstr>_Toc90906071</vt:lpwstr>
      </vt:variant>
      <vt:variant>
        <vt:i4>1507377</vt:i4>
      </vt:variant>
      <vt:variant>
        <vt:i4>104</vt:i4>
      </vt:variant>
      <vt:variant>
        <vt:i4>0</vt:i4>
      </vt:variant>
      <vt:variant>
        <vt:i4>5</vt:i4>
      </vt:variant>
      <vt:variant>
        <vt:lpwstr/>
      </vt:variant>
      <vt:variant>
        <vt:lpwstr>_Toc90906070</vt:lpwstr>
      </vt:variant>
      <vt:variant>
        <vt:i4>1966128</vt:i4>
      </vt:variant>
      <vt:variant>
        <vt:i4>98</vt:i4>
      </vt:variant>
      <vt:variant>
        <vt:i4>0</vt:i4>
      </vt:variant>
      <vt:variant>
        <vt:i4>5</vt:i4>
      </vt:variant>
      <vt:variant>
        <vt:lpwstr/>
      </vt:variant>
      <vt:variant>
        <vt:lpwstr>_Toc90906069</vt:lpwstr>
      </vt:variant>
      <vt:variant>
        <vt:i4>2031664</vt:i4>
      </vt:variant>
      <vt:variant>
        <vt:i4>92</vt:i4>
      </vt:variant>
      <vt:variant>
        <vt:i4>0</vt:i4>
      </vt:variant>
      <vt:variant>
        <vt:i4>5</vt:i4>
      </vt:variant>
      <vt:variant>
        <vt:lpwstr/>
      </vt:variant>
      <vt:variant>
        <vt:lpwstr>_Toc90906068</vt:lpwstr>
      </vt:variant>
      <vt:variant>
        <vt:i4>1048624</vt:i4>
      </vt:variant>
      <vt:variant>
        <vt:i4>86</vt:i4>
      </vt:variant>
      <vt:variant>
        <vt:i4>0</vt:i4>
      </vt:variant>
      <vt:variant>
        <vt:i4>5</vt:i4>
      </vt:variant>
      <vt:variant>
        <vt:lpwstr/>
      </vt:variant>
      <vt:variant>
        <vt:lpwstr>_Toc90906067</vt:lpwstr>
      </vt:variant>
      <vt:variant>
        <vt:i4>1114160</vt:i4>
      </vt:variant>
      <vt:variant>
        <vt:i4>80</vt:i4>
      </vt:variant>
      <vt:variant>
        <vt:i4>0</vt:i4>
      </vt:variant>
      <vt:variant>
        <vt:i4>5</vt:i4>
      </vt:variant>
      <vt:variant>
        <vt:lpwstr/>
      </vt:variant>
      <vt:variant>
        <vt:lpwstr>_Toc90906066</vt:lpwstr>
      </vt:variant>
      <vt:variant>
        <vt:i4>1179696</vt:i4>
      </vt:variant>
      <vt:variant>
        <vt:i4>74</vt:i4>
      </vt:variant>
      <vt:variant>
        <vt:i4>0</vt:i4>
      </vt:variant>
      <vt:variant>
        <vt:i4>5</vt:i4>
      </vt:variant>
      <vt:variant>
        <vt:lpwstr/>
      </vt:variant>
      <vt:variant>
        <vt:lpwstr>_Toc90906065</vt:lpwstr>
      </vt:variant>
      <vt:variant>
        <vt:i4>1245232</vt:i4>
      </vt:variant>
      <vt:variant>
        <vt:i4>68</vt:i4>
      </vt:variant>
      <vt:variant>
        <vt:i4>0</vt:i4>
      </vt:variant>
      <vt:variant>
        <vt:i4>5</vt:i4>
      </vt:variant>
      <vt:variant>
        <vt:lpwstr/>
      </vt:variant>
      <vt:variant>
        <vt:lpwstr>_Toc90906064</vt:lpwstr>
      </vt:variant>
      <vt:variant>
        <vt:i4>1310768</vt:i4>
      </vt:variant>
      <vt:variant>
        <vt:i4>62</vt:i4>
      </vt:variant>
      <vt:variant>
        <vt:i4>0</vt:i4>
      </vt:variant>
      <vt:variant>
        <vt:i4>5</vt:i4>
      </vt:variant>
      <vt:variant>
        <vt:lpwstr/>
      </vt:variant>
      <vt:variant>
        <vt:lpwstr>_Toc90906063</vt:lpwstr>
      </vt:variant>
      <vt:variant>
        <vt:i4>1376304</vt:i4>
      </vt:variant>
      <vt:variant>
        <vt:i4>56</vt:i4>
      </vt:variant>
      <vt:variant>
        <vt:i4>0</vt:i4>
      </vt:variant>
      <vt:variant>
        <vt:i4>5</vt:i4>
      </vt:variant>
      <vt:variant>
        <vt:lpwstr/>
      </vt:variant>
      <vt:variant>
        <vt:lpwstr>_Toc90906062</vt:lpwstr>
      </vt:variant>
      <vt:variant>
        <vt:i4>1441840</vt:i4>
      </vt:variant>
      <vt:variant>
        <vt:i4>50</vt:i4>
      </vt:variant>
      <vt:variant>
        <vt:i4>0</vt:i4>
      </vt:variant>
      <vt:variant>
        <vt:i4>5</vt:i4>
      </vt:variant>
      <vt:variant>
        <vt:lpwstr/>
      </vt:variant>
      <vt:variant>
        <vt:lpwstr>_Toc90906061</vt:lpwstr>
      </vt:variant>
      <vt:variant>
        <vt:i4>1507376</vt:i4>
      </vt:variant>
      <vt:variant>
        <vt:i4>44</vt:i4>
      </vt:variant>
      <vt:variant>
        <vt:i4>0</vt:i4>
      </vt:variant>
      <vt:variant>
        <vt:i4>5</vt:i4>
      </vt:variant>
      <vt:variant>
        <vt:lpwstr/>
      </vt:variant>
      <vt:variant>
        <vt:lpwstr>_Toc90906060</vt:lpwstr>
      </vt:variant>
      <vt:variant>
        <vt:i4>1966131</vt:i4>
      </vt:variant>
      <vt:variant>
        <vt:i4>38</vt:i4>
      </vt:variant>
      <vt:variant>
        <vt:i4>0</vt:i4>
      </vt:variant>
      <vt:variant>
        <vt:i4>5</vt:i4>
      </vt:variant>
      <vt:variant>
        <vt:lpwstr/>
      </vt:variant>
      <vt:variant>
        <vt:lpwstr>_Toc90906059</vt:lpwstr>
      </vt:variant>
      <vt:variant>
        <vt:i4>2031667</vt:i4>
      </vt:variant>
      <vt:variant>
        <vt:i4>32</vt:i4>
      </vt:variant>
      <vt:variant>
        <vt:i4>0</vt:i4>
      </vt:variant>
      <vt:variant>
        <vt:i4>5</vt:i4>
      </vt:variant>
      <vt:variant>
        <vt:lpwstr/>
      </vt:variant>
      <vt:variant>
        <vt:lpwstr>_Toc90906058</vt:lpwstr>
      </vt:variant>
      <vt:variant>
        <vt:i4>1048627</vt:i4>
      </vt:variant>
      <vt:variant>
        <vt:i4>26</vt:i4>
      </vt:variant>
      <vt:variant>
        <vt:i4>0</vt:i4>
      </vt:variant>
      <vt:variant>
        <vt:i4>5</vt:i4>
      </vt:variant>
      <vt:variant>
        <vt:lpwstr/>
      </vt:variant>
      <vt:variant>
        <vt:lpwstr>_Toc90906057</vt:lpwstr>
      </vt:variant>
      <vt:variant>
        <vt:i4>1114163</vt:i4>
      </vt:variant>
      <vt:variant>
        <vt:i4>20</vt:i4>
      </vt:variant>
      <vt:variant>
        <vt:i4>0</vt:i4>
      </vt:variant>
      <vt:variant>
        <vt:i4>5</vt:i4>
      </vt:variant>
      <vt:variant>
        <vt:lpwstr/>
      </vt:variant>
      <vt:variant>
        <vt:lpwstr>_Toc90906056</vt:lpwstr>
      </vt:variant>
      <vt:variant>
        <vt:i4>6357019</vt:i4>
      </vt:variant>
      <vt:variant>
        <vt:i4>15</vt:i4>
      </vt:variant>
      <vt:variant>
        <vt:i4>0</vt:i4>
      </vt:variant>
      <vt:variant>
        <vt:i4>5</vt:i4>
      </vt:variant>
      <vt:variant>
        <vt:lpwstr>mailto:enquiries@nationalguardianoffice.org.uk</vt:lpwstr>
      </vt:variant>
      <vt:variant>
        <vt:lpwstr/>
      </vt:variant>
      <vt:variant>
        <vt:i4>6553696</vt:i4>
      </vt:variant>
      <vt:variant>
        <vt:i4>12</vt:i4>
      </vt:variant>
      <vt:variant>
        <vt:i4>0</vt:i4>
      </vt:variant>
      <vt:variant>
        <vt:i4>5</vt:i4>
      </vt:variant>
      <vt:variant>
        <vt:lpwstr>https://nationalguardian.org.uk/2021/07/22/our-strategic-framework-for-freedom-to-speak-up/</vt:lpwstr>
      </vt:variant>
      <vt:variant>
        <vt:lpwstr/>
      </vt:variant>
      <vt:variant>
        <vt:i4>4784206</vt:i4>
      </vt:variant>
      <vt:variant>
        <vt:i4>9</vt:i4>
      </vt:variant>
      <vt:variant>
        <vt:i4>0</vt:i4>
      </vt:variant>
      <vt:variant>
        <vt:i4>5</vt:i4>
      </vt:variant>
      <vt:variant>
        <vt:lpwstr>https://nationalguardian.org.uk/</vt:lpwstr>
      </vt:variant>
      <vt:variant>
        <vt:lpwstr/>
      </vt:variant>
      <vt:variant>
        <vt:i4>589901</vt:i4>
      </vt:variant>
      <vt:variant>
        <vt:i4>6</vt:i4>
      </vt:variant>
      <vt:variant>
        <vt:i4>0</vt:i4>
      </vt:variant>
      <vt:variant>
        <vt:i4>5</vt:i4>
      </vt:variant>
      <vt:variant>
        <vt:lpwstr>https://www.england.nhs.uk/ourwork/whistleblowing/freedom-to-speak-up-guidance-for-nhs-trust-and-nhs-foundation-trust-boards/</vt:lpwstr>
      </vt:variant>
      <vt:variant>
        <vt:lpwstr/>
      </vt:variant>
      <vt:variant>
        <vt:i4>6815840</vt:i4>
      </vt:variant>
      <vt:variant>
        <vt:i4>3</vt:i4>
      </vt:variant>
      <vt:variant>
        <vt:i4>0</vt:i4>
      </vt:variant>
      <vt:variant>
        <vt:i4>5</vt:i4>
      </vt:variant>
      <vt:variant>
        <vt:lpwstr>https://nationalguardian.org.uk/learning-resources/speaking-up-reviews/</vt:lpwstr>
      </vt:variant>
      <vt:variant>
        <vt:lpwstr/>
      </vt:variant>
      <vt:variant>
        <vt:i4>4784206</vt:i4>
      </vt:variant>
      <vt:variant>
        <vt:i4>0</vt:i4>
      </vt:variant>
      <vt:variant>
        <vt:i4>0</vt:i4>
      </vt:variant>
      <vt:variant>
        <vt:i4>5</vt:i4>
      </vt:variant>
      <vt:variant>
        <vt:lpwstr>https://nationalguardian.org.uk/</vt:lpwstr>
      </vt:variant>
      <vt:variant>
        <vt:lpwstr/>
      </vt:variant>
      <vt:variant>
        <vt:i4>1376342</vt:i4>
      </vt:variant>
      <vt:variant>
        <vt:i4>12</vt:i4>
      </vt:variant>
      <vt:variant>
        <vt:i4>0</vt:i4>
      </vt:variant>
      <vt:variant>
        <vt:i4>5</vt:i4>
      </vt:variant>
      <vt:variant>
        <vt:lpwstr>https://www.england.nhs.uk/wp-content/uploads/2021/05/ftsu-supplementary-information.pdf</vt:lpwstr>
      </vt:variant>
      <vt:variant>
        <vt:lpwstr/>
      </vt:variant>
      <vt:variant>
        <vt:i4>589901</vt:i4>
      </vt:variant>
      <vt:variant>
        <vt:i4>9</vt:i4>
      </vt:variant>
      <vt:variant>
        <vt:i4>0</vt:i4>
      </vt:variant>
      <vt:variant>
        <vt:i4>5</vt:i4>
      </vt:variant>
      <vt:variant>
        <vt:lpwstr>https://www.england.nhs.uk/ourwork/whistleblowing/freedom-to-speak-up-guidance-for-nhs-trust-and-nhs-foundation-trust-boards/</vt:lpwstr>
      </vt:variant>
      <vt:variant>
        <vt:lpwstr/>
      </vt:variant>
      <vt:variant>
        <vt:i4>2097213</vt:i4>
      </vt:variant>
      <vt:variant>
        <vt:i4>6</vt:i4>
      </vt:variant>
      <vt:variant>
        <vt:i4>0</vt:i4>
      </vt:variant>
      <vt:variant>
        <vt:i4>5</vt:i4>
      </vt:variant>
      <vt:variant>
        <vt:lpwstr>https://www.cqc.org.uk/</vt:lpwstr>
      </vt:variant>
      <vt:variant>
        <vt:lpwstr/>
      </vt:variant>
      <vt:variant>
        <vt:i4>1966092</vt:i4>
      </vt:variant>
      <vt:variant>
        <vt:i4>3</vt:i4>
      </vt:variant>
      <vt:variant>
        <vt:i4>0</vt:i4>
      </vt:variant>
      <vt:variant>
        <vt:i4>5</vt:i4>
      </vt:variant>
      <vt:variant>
        <vt:lpwstr>https://nationalguardian.org.uk/speaking-up/training-for-workers/</vt:lpwstr>
      </vt:variant>
      <vt:variant>
        <vt:lpwstr/>
      </vt:variant>
      <vt:variant>
        <vt:i4>983106</vt:i4>
      </vt:variant>
      <vt:variant>
        <vt:i4>0</vt:i4>
      </vt:variant>
      <vt:variant>
        <vt:i4>0</vt:i4>
      </vt:variant>
      <vt:variant>
        <vt:i4>5</vt:i4>
      </vt:variant>
      <vt:variant>
        <vt:lpwstr>https://nationalguardian.org.uk/wp-content/uploads/2021/04/20190812-National-guidelines-on-FTSU-training.pdf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Brzezina, Danusia</dc:creator>
  <cp:keywords/>
  <dc:description/>
  <cp:lastModifiedBy>Bradshaw, Katherine</cp:lastModifiedBy>
  <cp:revision>3</cp:revision>
  <cp:lastPrinted>2021-12-20T16:14:00Z</cp:lastPrinted>
  <dcterms:created xsi:type="dcterms:W3CDTF">2021-12-20T16:15:00Z</dcterms:created>
  <dcterms:modified xsi:type="dcterms:W3CDTF">2021-12-20T16:15:00Z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